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92" w:rsidRPr="00C93CEC" w:rsidRDefault="00C93CEC" w:rsidP="00C93CEC">
      <w:pPr>
        <w:spacing w:after="0"/>
        <w:rPr>
          <w:b/>
          <w:sz w:val="28"/>
          <w:szCs w:val="28"/>
        </w:rPr>
      </w:pPr>
      <w:bookmarkStart w:id="0" w:name="_GoBack"/>
      <w:bookmarkEnd w:id="0"/>
      <w:r w:rsidRPr="00C93CEC">
        <w:rPr>
          <w:b/>
          <w:sz w:val="28"/>
          <w:szCs w:val="28"/>
        </w:rPr>
        <w:t xml:space="preserve">Frontline of Defense </w:t>
      </w:r>
      <w:proofErr w:type="gramStart"/>
      <w:r w:rsidRPr="00C93CEC">
        <w:rPr>
          <w:b/>
          <w:sz w:val="28"/>
          <w:szCs w:val="28"/>
        </w:rPr>
        <w:t>Against</w:t>
      </w:r>
      <w:proofErr w:type="gramEnd"/>
      <w:r w:rsidRPr="00C93CEC">
        <w:rPr>
          <w:b/>
          <w:sz w:val="28"/>
          <w:szCs w:val="28"/>
        </w:rPr>
        <w:t xml:space="preserve"> Fraud</w:t>
      </w:r>
    </w:p>
    <w:p w:rsidR="00C93CEC" w:rsidRPr="00C93CEC" w:rsidRDefault="00C93CEC" w:rsidP="00C93CEC">
      <w:pPr>
        <w:spacing w:after="0"/>
        <w:rPr>
          <w:b/>
          <w:sz w:val="28"/>
          <w:szCs w:val="28"/>
        </w:rPr>
      </w:pPr>
      <w:r w:rsidRPr="00C93CEC">
        <w:rPr>
          <w:b/>
          <w:sz w:val="28"/>
          <w:szCs w:val="28"/>
        </w:rPr>
        <w:t>November 30, 2011</w:t>
      </w:r>
    </w:p>
    <w:p w:rsidR="00C93CEC" w:rsidRDefault="00C93CEC" w:rsidP="00C93CEC">
      <w:pPr>
        <w:spacing w:after="0"/>
      </w:pPr>
    </w:p>
    <w:p w:rsidR="00BA3194" w:rsidRPr="00C93CEC" w:rsidRDefault="00D9430A" w:rsidP="00C93CEC">
      <w:pPr>
        <w:spacing w:after="0"/>
        <w:rPr>
          <w:b/>
          <w:sz w:val="28"/>
          <w:szCs w:val="28"/>
        </w:rPr>
      </w:pPr>
      <w:r w:rsidRPr="00C93CEC">
        <w:rPr>
          <w:b/>
          <w:sz w:val="28"/>
          <w:szCs w:val="28"/>
        </w:rPr>
        <w:t>Agenda</w:t>
      </w:r>
    </w:p>
    <w:p w:rsidR="00C93CEC" w:rsidRDefault="00C93CEC" w:rsidP="00D9430A">
      <w:pPr>
        <w:spacing w:after="0"/>
      </w:pPr>
    </w:p>
    <w:p w:rsidR="00D9430A" w:rsidRDefault="00D9430A" w:rsidP="00D9430A">
      <w:pPr>
        <w:spacing w:after="0"/>
      </w:pPr>
      <w:r>
        <w:t>10:00 a.m. – 10:50 a.m.</w:t>
      </w:r>
      <w:r>
        <w:tab/>
      </w:r>
      <w:r>
        <w:tab/>
      </w:r>
      <w:r w:rsidRPr="00C93CEC">
        <w:rPr>
          <w:color w:val="0000FF"/>
        </w:rPr>
        <w:t>Fraud – The Basics</w:t>
      </w:r>
    </w:p>
    <w:p w:rsidR="00D9430A" w:rsidRDefault="00D9430A" w:rsidP="00D9430A">
      <w:pPr>
        <w:spacing w:after="0"/>
        <w:ind w:left="2880"/>
      </w:pPr>
      <w:r>
        <w:t>In this section, we will cover the definition</w:t>
      </w:r>
      <w:r w:rsidR="00C93CEC">
        <w:t>s</w:t>
      </w:r>
      <w:r>
        <w:t xml:space="preserve"> of fraud and occupational fraud, fraud theory, and internal controls.  We will also identify who is committing fraud and address the difference between an audit and a fraud examination.</w:t>
      </w:r>
    </w:p>
    <w:p w:rsidR="00D9430A" w:rsidRDefault="00D9430A" w:rsidP="00D9430A">
      <w:pPr>
        <w:spacing w:after="0"/>
        <w:ind w:left="2880"/>
      </w:pPr>
    </w:p>
    <w:p w:rsidR="00D9430A" w:rsidRDefault="00D9430A" w:rsidP="00D9430A">
      <w:pPr>
        <w:spacing w:after="0"/>
      </w:pPr>
      <w:r>
        <w:t>10:50 a.m. – 11:40 a.m.</w:t>
      </w:r>
      <w:r>
        <w:tab/>
      </w:r>
      <w:r>
        <w:tab/>
      </w:r>
      <w:r w:rsidRPr="00C93CEC">
        <w:rPr>
          <w:color w:val="0000FF"/>
        </w:rPr>
        <w:t>Risk Assessment</w:t>
      </w:r>
    </w:p>
    <w:p w:rsidR="00D9430A" w:rsidRDefault="00D9430A" w:rsidP="00D9430A">
      <w:pPr>
        <w:spacing w:after="0"/>
      </w:pPr>
      <w:r>
        <w:tab/>
      </w:r>
      <w:r>
        <w:tab/>
      </w:r>
      <w:r>
        <w:tab/>
      </w:r>
      <w:r>
        <w:tab/>
      </w:r>
      <w:r w:rsidRPr="00C93CEC">
        <w:rPr>
          <w:color w:val="0000FF"/>
        </w:rPr>
        <w:t>Accounts Payable and Purchasing Card Fraud Schemes</w:t>
      </w:r>
    </w:p>
    <w:p w:rsidR="00D9430A" w:rsidRDefault="00330892" w:rsidP="00330892">
      <w:pPr>
        <w:spacing w:after="0"/>
        <w:ind w:left="2880"/>
      </w:pPr>
      <w:r>
        <w:t>In this section, we will cover assessing and responding to the risk of fraud.  Common accounts payable and purchasing card fraud schemes will be defined, along with the red flags and internal controls related to each scheme.</w:t>
      </w:r>
    </w:p>
    <w:p w:rsidR="00330892" w:rsidRDefault="00330892" w:rsidP="00330892">
      <w:pPr>
        <w:spacing w:after="0"/>
        <w:ind w:left="2880"/>
      </w:pPr>
    </w:p>
    <w:p w:rsidR="00330892" w:rsidRDefault="00330892" w:rsidP="00330892">
      <w:pPr>
        <w:spacing w:after="0"/>
        <w:ind w:left="2880" w:hanging="2880"/>
      </w:pPr>
      <w:r>
        <w:t>11:40 a.m. – 12:30 p.m.</w:t>
      </w:r>
      <w:r>
        <w:tab/>
        <w:t>Lunch</w:t>
      </w:r>
    </w:p>
    <w:p w:rsidR="00330892" w:rsidRDefault="00330892" w:rsidP="00330892">
      <w:pPr>
        <w:spacing w:after="0"/>
        <w:ind w:left="2880" w:hanging="2880"/>
      </w:pPr>
    </w:p>
    <w:p w:rsidR="00330892" w:rsidRDefault="00330892" w:rsidP="00330892">
      <w:pPr>
        <w:spacing w:after="0"/>
        <w:ind w:left="2880" w:hanging="2880"/>
      </w:pPr>
      <w:r>
        <w:t>12:30 p.m. – 1:20 p.m.</w:t>
      </w:r>
      <w:r>
        <w:tab/>
      </w:r>
      <w:r w:rsidRPr="00C93CEC">
        <w:rPr>
          <w:color w:val="0000FF"/>
        </w:rPr>
        <w:t>Accounts Payable and Pur</w:t>
      </w:r>
      <w:r w:rsidR="00C93CEC" w:rsidRPr="00C93CEC">
        <w:rPr>
          <w:color w:val="0000FF"/>
        </w:rPr>
        <w:t xml:space="preserve">chasing Card Fraud Schemes </w:t>
      </w:r>
      <w:r w:rsidR="00C93CEC" w:rsidRPr="00C93CEC">
        <w:rPr>
          <w:i/>
        </w:rPr>
        <w:t>continued</w:t>
      </w:r>
    </w:p>
    <w:p w:rsidR="00330892" w:rsidRDefault="00330892" w:rsidP="00330892">
      <w:pPr>
        <w:spacing w:after="0"/>
        <w:ind w:left="2880" w:hanging="2880"/>
      </w:pPr>
      <w:r>
        <w:tab/>
        <w:t>See above.</w:t>
      </w:r>
    </w:p>
    <w:p w:rsidR="00330892" w:rsidRDefault="00330892" w:rsidP="00330892">
      <w:pPr>
        <w:spacing w:after="0"/>
        <w:ind w:left="2880" w:hanging="2880"/>
      </w:pPr>
    </w:p>
    <w:p w:rsidR="00330892" w:rsidRDefault="00330892" w:rsidP="00330892">
      <w:pPr>
        <w:spacing w:after="0"/>
        <w:ind w:left="2880" w:hanging="2880"/>
      </w:pPr>
      <w:r>
        <w:t>1:20 p.m. – 2:10 p.m.</w:t>
      </w:r>
      <w:r>
        <w:tab/>
      </w:r>
      <w:r w:rsidRPr="00C93CEC">
        <w:rPr>
          <w:color w:val="0000FF"/>
        </w:rPr>
        <w:t>Data Mining and Auditing for Fraud</w:t>
      </w:r>
    </w:p>
    <w:p w:rsidR="00330892" w:rsidRDefault="00330892" w:rsidP="00330892">
      <w:pPr>
        <w:spacing w:after="0"/>
        <w:ind w:left="2880" w:hanging="2880"/>
      </w:pPr>
      <w:r>
        <w:tab/>
        <w:t>This section will cover common desktop review procedures and onsite compliance review programs.  Data mining techniques will also be covered.</w:t>
      </w:r>
    </w:p>
    <w:p w:rsidR="00330892" w:rsidRDefault="00330892" w:rsidP="00330892">
      <w:pPr>
        <w:spacing w:after="0"/>
        <w:ind w:left="2880" w:hanging="2880"/>
      </w:pPr>
    </w:p>
    <w:p w:rsidR="00330892" w:rsidRDefault="00330892" w:rsidP="00330892">
      <w:pPr>
        <w:spacing w:after="0"/>
        <w:ind w:left="2880" w:hanging="2880"/>
      </w:pPr>
      <w:r>
        <w:t>2:10 p.m. – 2:30 p.m.</w:t>
      </w:r>
      <w:r>
        <w:tab/>
        <w:t>Break</w:t>
      </w:r>
    </w:p>
    <w:p w:rsidR="00330892" w:rsidRDefault="00330892" w:rsidP="00330892">
      <w:pPr>
        <w:spacing w:after="0"/>
        <w:ind w:left="2880" w:hanging="2880"/>
      </w:pPr>
    </w:p>
    <w:p w:rsidR="00330892" w:rsidRDefault="00330892" w:rsidP="00330892">
      <w:pPr>
        <w:spacing w:after="0"/>
        <w:ind w:left="2880" w:hanging="2880"/>
      </w:pPr>
      <w:r>
        <w:t>2:30 p.m. – 3:20 p.m.</w:t>
      </w:r>
      <w:r>
        <w:tab/>
      </w:r>
      <w:r w:rsidRPr="00C93CEC">
        <w:rPr>
          <w:color w:val="0000FF"/>
        </w:rPr>
        <w:t>Fraud Case Studies</w:t>
      </w:r>
    </w:p>
    <w:p w:rsidR="00330892" w:rsidRDefault="00330892" w:rsidP="00330892">
      <w:pPr>
        <w:spacing w:after="0"/>
        <w:ind w:left="2880" w:hanging="2880"/>
      </w:pPr>
      <w:r>
        <w:tab/>
        <w:t>Case studies will be presented to allow the participants to apply what they’ve learned in the other sections.</w:t>
      </w:r>
    </w:p>
    <w:p w:rsidR="00330892" w:rsidRDefault="00330892" w:rsidP="00330892">
      <w:pPr>
        <w:spacing w:after="0"/>
        <w:ind w:left="2880" w:hanging="2880"/>
      </w:pPr>
    </w:p>
    <w:p w:rsidR="00330892" w:rsidRPr="00D9430A" w:rsidRDefault="00330892" w:rsidP="00330892">
      <w:pPr>
        <w:spacing w:after="0"/>
        <w:ind w:left="2880" w:hanging="2880"/>
      </w:pPr>
      <w:r>
        <w:t>3:20 p.m. – 3:30 p.m.</w:t>
      </w:r>
      <w:r>
        <w:tab/>
        <w:t>Wrap-up</w:t>
      </w:r>
      <w:r w:rsidR="00544EDA">
        <w:t xml:space="preserve"> </w:t>
      </w:r>
    </w:p>
    <w:sectPr w:rsidR="00330892" w:rsidRPr="00D94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94"/>
    <w:rsid w:val="00330892"/>
    <w:rsid w:val="00357267"/>
    <w:rsid w:val="00544EDA"/>
    <w:rsid w:val="00BA3194"/>
    <w:rsid w:val="00C93CEC"/>
    <w:rsid w:val="00CE0673"/>
    <w:rsid w:val="00D9430A"/>
    <w:rsid w:val="00EE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Brenna</dc:creator>
  <cp:lastModifiedBy>Nancy Horner</cp:lastModifiedBy>
  <cp:revision>2</cp:revision>
  <cp:lastPrinted>2011-10-11T20:39:00Z</cp:lastPrinted>
  <dcterms:created xsi:type="dcterms:W3CDTF">2011-10-27T21:21:00Z</dcterms:created>
  <dcterms:modified xsi:type="dcterms:W3CDTF">2011-10-27T21:21:00Z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1641541514</vt:i4>
  </property>
  <property fmtid="{D5CDD505-2E9C-101B-9397-08002B2CF9AE}" pid="3" name="_NewReviewCycle">
    <vt:lpwstr/>
  </property>
  <property fmtid="{D5CDD505-2E9C-101B-9397-08002B2CF9AE}" pid="4" name="_EmailSubject">
    <vt:lpwstr>Brochure</vt:lpwstr>
  </property>
  <property fmtid="{D5CDD505-2E9C-101B-9397-08002B2CF9AE}" pid="5" name="_AuthorEmail">
    <vt:lpwstr>nancy.horner@okstate.edu</vt:lpwstr>
  </property>
  <property fmtid="{D5CDD505-2E9C-101B-9397-08002B2CF9AE}" pid="6" name="_AuthorEmailDisplayName">
    <vt:lpwstr>Horner, Nancy</vt:lpwstr>
  </property>
</Properties>
</file>