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EBE" w:rsidRPr="001A4D65" w:rsidRDefault="00A74EBE">
      <w:pPr>
        <w:jc w:val="center"/>
        <w:rPr>
          <w:rFonts w:ascii="Times New Roman" w:hAnsi="Times New Roman"/>
        </w:rPr>
      </w:pPr>
      <w:r w:rsidRPr="001A4D65">
        <w:rPr>
          <w:rFonts w:ascii="Times New Roman" w:hAnsi="Times New Roman"/>
        </w:rPr>
        <w:t>Meeting of the</w:t>
      </w:r>
    </w:p>
    <w:p w:rsidR="00A74EBE" w:rsidRPr="001A4D65" w:rsidRDefault="00A74EBE">
      <w:pPr>
        <w:jc w:val="center"/>
        <w:rPr>
          <w:rFonts w:ascii="Times New Roman" w:hAnsi="Times New Roman"/>
        </w:rPr>
      </w:pPr>
      <w:r w:rsidRPr="001A4D65">
        <w:rPr>
          <w:rFonts w:ascii="Times New Roman" w:hAnsi="Times New Roman"/>
        </w:rPr>
        <w:t>OKLAHOMA STATE REGENTS FOR HIGHER EDUCATION</w:t>
      </w:r>
    </w:p>
    <w:p w:rsidR="00A74EBE" w:rsidRPr="001A4D65" w:rsidRDefault="00677BB3">
      <w:pPr>
        <w:jc w:val="center"/>
        <w:rPr>
          <w:rFonts w:ascii="Times New Roman" w:hAnsi="Times New Roman"/>
        </w:rPr>
      </w:pPr>
      <w:r>
        <w:rPr>
          <w:rFonts w:ascii="Times New Roman" w:hAnsi="Times New Roman"/>
        </w:rPr>
        <w:t xml:space="preserve">March </w:t>
      </w:r>
      <w:r w:rsidR="009178ED">
        <w:rPr>
          <w:rFonts w:ascii="Times New Roman" w:hAnsi="Times New Roman"/>
        </w:rPr>
        <w:t>14</w:t>
      </w:r>
      <w:r>
        <w:rPr>
          <w:rFonts w:ascii="Times New Roman" w:hAnsi="Times New Roman"/>
        </w:rPr>
        <w:t>, 20</w:t>
      </w:r>
      <w:r w:rsidR="00BF0678">
        <w:rPr>
          <w:rFonts w:ascii="Times New Roman" w:hAnsi="Times New Roman"/>
        </w:rPr>
        <w:t>24</w:t>
      </w:r>
    </w:p>
    <w:p w:rsidR="00A74EBE" w:rsidRPr="001A4D65" w:rsidRDefault="00A74EBE">
      <w:pPr>
        <w:rPr>
          <w:rFonts w:ascii="Times New Roman" w:hAnsi="Times New Roman"/>
          <w:b/>
        </w:rPr>
      </w:pPr>
    </w:p>
    <w:p w:rsidR="005F3F1A" w:rsidRDefault="00A74EBE" w:rsidP="001661E8">
      <w:pPr>
        <w:rPr>
          <w:rFonts w:ascii="Times New Roman" w:hAnsi="Times New Roman"/>
          <w:b/>
        </w:rPr>
      </w:pPr>
      <w:r w:rsidRPr="001A4D65">
        <w:rPr>
          <w:rFonts w:ascii="Times New Roman" w:hAnsi="Times New Roman"/>
          <w:b/>
        </w:rPr>
        <w:t>AGENDA ITEM #:</w:t>
      </w:r>
      <w:r w:rsidR="00B95F3F">
        <w:rPr>
          <w:rFonts w:ascii="Times New Roman" w:hAnsi="Times New Roman"/>
          <w:b/>
        </w:rPr>
        <w:t xml:space="preserve"> </w:t>
      </w:r>
    </w:p>
    <w:p w:rsidR="005F3F1A" w:rsidRDefault="005F3F1A" w:rsidP="001661E8">
      <w:pPr>
        <w:rPr>
          <w:rFonts w:ascii="Times New Roman" w:hAnsi="Times New Roman"/>
          <w:b/>
        </w:rPr>
      </w:pPr>
    </w:p>
    <w:p w:rsidR="00F13F4C" w:rsidRPr="001A4D65" w:rsidRDefault="005F3F1A" w:rsidP="001661E8">
      <w:pPr>
        <w:rPr>
          <w:rFonts w:ascii="Times New Roman" w:hAnsi="Times New Roman"/>
          <w:b/>
        </w:rPr>
      </w:pPr>
      <w:r>
        <w:rPr>
          <w:rFonts w:ascii="Times New Roman" w:hAnsi="Times New Roman"/>
          <w:b/>
        </w:rPr>
        <w:tab/>
      </w:r>
      <w:r>
        <w:rPr>
          <w:rFonts w:ascii="Times New Roman" w:hAnsi="Times New Roman"/>
          <w:b/>
        </w:rPr>
        <w:tab/>
      </w:r>
      <w:r w:rsidR="00FB1583" w:rsidRPr="001A4D65">
        <w:rPr>
          <w:rFonts w:ascii="Times New Roman" w:hAnsi="Times New Roman"/>
          <w:b/>
        </w:rPr>
        <w:t>Tuition and Fees</w:t>
      </w:r>
    </w:p>
    <w:p w:rsidR="00FB1583" w:rsidRPr="00CF6595" w:rsidRDefault="00FB1583">
      <w:pPr>
        <w:ind w:left="1440" w:hanging="1440"/>
        <w:rPr>
          <w:rFonts w:ascii="Times New Roman" w:hAnsi="Times New Roman"/>
          <w:b/>
          <w:sz w:val="16"/>
          <w:szCs w:val="16"/>
        </w:rPr>
      </w:pPr>
    </w:p>
    <w:p w:rsidR="004D06C2" w:rsidRPr="00CF6595" w:rsidRDefault="004D06C2">
      <w:pPr>
        <w:ind w:left="1440" w:hanging="1440"/>
        <w:rPr>
          <w:rFonts w:ascii="Times New Roman" w:hAnsi="Times New Roman"/>
          <w:b/>
          <w:sz w:val="16"/>
          <w:szCs w:val="16"/>
        </w:rPr>
      </w:pPr>
    </w:p>
    <w:p w:rsidR="00A74EBE" w:rsidRPr="001A4D65" w:rsidRDefault="00A74EBE">
      <w:pPr>
        <w:ind w:left="1440" w:hanging="1440"/>
        <w:rPr>
          <w:rFonts w:ascii="Times New Roman" w:hAnsi="Times New Roman"/>
        </w:rPr>
      </w:pPr>
      <w:r w:rsidRPr="001A4D65">
        <w:rPr>
          <w:rFonts w:ascii="Times New Roman" w:hAnsi="Times New Roman"/>
          <w:b/>
        </w:rPr>
        <w:t>SUBJECT:</w:t>
      </w:r>
      <w:r w:rsidRPr="001A4D65">
        <w:rPr>
          <w:rFonts w:ascii="Times New Roman" w:hAnsi="Times New Roman"/>
        </w:rPr>
        <w:tab/>
      </w:r>
      <w:r w:rsidR="00CF2387" w:rsidRPr="001A4D65">
        <w:rPr>
          <w:rFonts w:ascii="Times New Roman" w:hAnsi="Times New Roman"/>
        </w:rPr>
        <w:t xml:space="preserve">Posting of </w:t>
      </w:r>
      <w:r w:rsidR="00A96B55" w:rsidRPr="001A4D65">
        <w:rPr>
          <w:rFonts w:ascii="Times New Roman" w:hAnsi="Times New Roman"/>
        </w:rPr>
        <w:t xml:space="preserve">legislative </w:t>
      </w:r>
      <w:r w:rsidR="00260A8A" w:rsidRPr="001A4D65">
        <w:rPr>
          <w:rFonts w:ascii="Times New Roman" w:hAnsi="Times New Roman"/>
        </w:rPr>
        <w:t>tuition and mandatory f</w:t>
      </w:r>
      <w:r w:rsidR="00D67112" w:rsidRPr="001A4D65">
        <w:rPr>
          <w:rFonts w:ascii="Times New Roman" w:hAnsi="Times New Roman"/>
        </w:rPr>
        <w:t>ee limits for resident and nonresident undergraduate, graduate, and professional programs</w:t>
      </w:r>
      <w:r w:rsidR="00014CCD" w:rsidRPr="001A4D65">
        <w:rPr>
          <w:rFonts w:ascii="Times New Roman" w:hAnsi="Times New Roman"/>
        </w:rPr>
        <w:t xml:space="preserve"> for </w:t>
      </w:r>
      <w:r w:rsidR="00570FCF">
        <w:rPr>
          <w:rFonts w:ascii="Times New Roman" w:hAnsi="Times New Roman"/>
        </w:rPr>
        <w:t>Fiscal Year 20</w:t>
      </w:r>
      <w:r w:rsidR="000E71B2">
        <w:rPr>
          <w:rFonts w:ascii="Times New Roman" w:hAnsi="Times New Roman"/>
        </w:rPr>
        <w:t>2</w:t>
      </w:r>
      <w:r w:rsidR="00BE1AD0">
        <w:rPr>
          <w:rFonts w:ascii="Times New Roman" w:hAnsi="Times New Roman"/>
        </w:rPr>
        <w:t>5</w:t>
      </w:r>
      <w:r w:rsidR="00D67112" w:rsidRPr="001A4D65">
        <w:rPr>
          <w:rFonts w:ascii="Times New Roman" w:hAnsi="Times New Roman"/>
        </w:rPr>
        <w:t xml:space="preserve"> and </w:t>
      </w:r>
      <w:r w:rsidR="00E168F3" w:rsidRPr="001A4D65">
        <w:rPr>
          <w:rFonts w:ascii="Times New Roman" w:hAnsi="Times New Roman"/>
        </w:rPr>
        <w:t>posting of i</w:t>
      </w:r>
      <w:r w:rsidR="00CF2387" w:rsidRPr="001A4D65">
        <w:rPr>
          <w:rFonts w:ascii="Times New Roman" w:hAnsi="Times New Roman"/>
        </w:rPr>
        <w:t>nst</w:t>
      </w:r>
      <w:r w:rsidR="00E168F3" w:rsidRPr="001A4D65">
        <w:rPr>
          <w:rFonts w:ascii="Times New Roman" w:hAnsi="Times New Roman"/>
        </w:rPr>
        <w:t>itutional r</w:t>
      </w:r>
      <w:r w:rsidR="0017402E" w:rsidRPr="001A4D65">
        <w:rPr>
          <w:rFonts w:ascii="Times New Roman" w:hAnsi="Times New Roman"/>
        </w:rPr>
        <w:t>eque</w:t>
      </w:r>
      <w:r w:rsidR="00E168F3" w:rsidRPr="001A4D65">
        <w:rPr>
          <w:rFonts w:ascii="Times New Roman" w:hAnsi="Times New Roman"/>
        </w:rPr>
        <w:t>sts for c</w:t>
      </w:r>
      <w:r w:rsidR="0017402E" w:rsidRPr="001A4D65">
        <w:rPr>
          <w:rFonts w:ascii="Times New Roman" w:hAnsi="Times New Roman"/>
        </w:rPr>
        <w:t>hanges to</w:t>
      </w:r>
      <w:r w:rsidR="00260A8A" w:rsidRPr="001A4D65">
        <w:rPr>
          <w:rFonts w:ascii="Times New Roman" w:hAnsi="Times New Roman"/>
        </w:rPr>
        <w:t xml:space="preserve"> academic s</w:t>
      </w:r>
      <w:r w:rsidR="00CF2387" w:rsidRPr="001A4D65">
        <w:rPr>
          <w:rFonts w:ascii="Times New Roman" w:hAnsi="Times New Roman"/>
        </w:rPr>
        <w:t xml:space="preserve">ervices </w:t>
      </w:r>
      <w:r w:rsidR="00260A8A" w:rsidRPr="001A4D65">
        <w:rPr>
          <w:rFonts w:ascii="Times New Roman" w:hAnsi="Times New Roman"/>
        </w:rPr>
        <w:t>f</w:t>
      </w:r>
      <w:r w:rsidR="006507C2" w:rsidRPr="001A4D65">
        <w:rPr>
          <w:rFonts w:ascii="Times New Roman" w:hAnsi="Times New Roman"/>
        </w:rPr>
        <w:t>ees</w:t>
      </w:r>
      <w:r w:rsidR="00CF2387" w:rsidRPr="001A4D65">
        <w:rPr>
          <w:rFonts w:ascii="Times New Roman" w:hAnsi="Times New Roman"/>
        </w:rPr>
        <w:t xml:space="preserve"> for </w:t>
      </w:r>
      <w:r w:rsidR="00570FCF">
        <w:rPr>
          <w:rFonts w:ascii="Times New Roman" w:hAnsi="Times New Roman"/>
        </w:rPr>
        <w:t>Fiscal Year 20</w:t>
      </w:r>
      <w:r w:rsidR="000E71B2">
        <w:rPr>
          <w:rFonts w:ascii="Times New Roman" w:hAnsi="Times New Roman"/>
        </w:rPr>
        <w:t>2</w:t>
      </w:r>
      <w:r w:rsidR="00BE1AD0">
        <w:rPr>
          <w:rFonts w:ascii="Times New Roman" w:hAnsi="Times New Roman"/>
        </w:rPr>
        <w:t>5</w:t>
      </w:r>
      <w:r w:rsidR="00F13F4C" w:rsidRPr="001A4D65">
        <w:rPr>
          <w:rFonts w:ascii="Times New Roman" w:hAnsi="Times New Roman"/>
        </w:rPr>
        <w:t>.</w:t>
      </w:r>
    </w:p>
    <w:p w:rsidR="00A74EBE" w:rsidRPr="00CF6595" w:rsidRDefault="00A74EBE">
      <w:pPr>
        <w:ind w:left="1440" w:hanging="1440"/>
        <w:rPr>
          <w:rFonts w:ascii="Times New Roman" w:hAnsi="Times New Roman"/>
          <w:sz w:val="16"/>
          <w:szCs w:val="16"/>
        </w:rPr>
      </w:pPr>
    </w:p>
    <w:p w:rsidR="004D06C2" w:rsidRPr="00CF6595" w:rsidRDefault="004D06C2">
      <w:pPr>
        <w:ind w:left="1440" w:hanging="1440"/>
        <w:rPr>
          <w:rFonts w:ascii="Times New Roman" w:hAnsi="Times New Roman"/>
          <w:sz w:val="16"/>
          <w:szCs w:val="16"/>
        </w:rPr>
      </w:pPr>
    </w:p>
    <w:p w:rsidR="00A74EBE" w:rsidRPr="001A4D65" w:rsidRDefault="00A74EBE">
      <w:pPr>
        <w:rPr>
          <w:rFonts w:ascii="Times New Roman" w:hAnsi="Times New Roman"/>
        </w:rPr>
      </w:pPr>
      <w:r w:rsidRPr="001A4D65">
        <w:rPr>
          <w:rFonts w:ascii="Times New Roman" w:hAnsi="Times New Roman"/>
          <w:b/>
        </w:rPr>
        <w:t>RECOMMENDATION:</w:t>
      </w:r>
    </w:p>
    <w:p w:rsidR="00A74EBE" w:rsidRPr="001A4D65" w:rsidRDefault="00A74EBE">
      <w:pPr>
        <w:rPr>
          <w:rFonts w:ascii="Times New Roman" w:hAnsi="Times New Roman"/>
        </w:rPr>
      </w:pPr>
    </w:p>
    <w:p w:rsidR="00A74EBE" w:rsidRPr="001A4D65" w:rsidRDefault="00A74EBE">
      <w:pPr>
        <w:ind w:left="1440"/>
        <w:rPr>
          <w:rFonts w:ascii="Times New Roman" w:hAnsi="Times New Roman"/>
          <w:b/>
          <w:u w:val="single"/>
        </w:rPr>
      </w:pPr>
      <w:r w:rsidRPr="001A4D65">
        <w:rPr>
          <w:rFonts w:ascii="Times New Roman" w:hAnsi="Times New Roman"/>
          <w:b/>
        </w:rPr>
        <w:t xml:space="preserve">It is recommended that the State Regents </w:t>
      </w:r>
      <w:r w:rsidR="00260A8A" w:rsidRPr="001A4D65">
        <w:rPr>
          <w:rFonts w:ascii="Times New Roman" w:hAnsi="Times New Roman"/>
          <w:b/>
        </w:rPr>
        <w:t xml:space="preserve">approve </w:t>
      </w:r>
      <w:r w:rsidR="00A96B55" w:rsidRPr="001A4D65">
        <w:rPr>
          <w:rFonts w:ascii="Times New Roman" w:hAnsi="Times New Roman"/>
          <w:b/>
        </w:rPr>
        <w:t xml:space="preserve">the posting of </w:t>
      </w:r>
      <w:r w:rsidR="00D25F53" w:rsidRPr="001A4D65">
        <w:rPr>
          <w:rFonts w:ascii="Times New Roman" w:hAnsi="Times New Roman"/>
          <w:b/>
        </w:rPr>
        <w:t>1)</w:t>
      </w:r>
      <w:r w:rsidR="00C50102" w:rsidRPr="001A4D65">
        <w:rPr>
          <w:rFonts w:ascii="Times New Roman" w:hAnsi="Times New Roman"/>
          <w:b/>
        </w:rPr>
        <w:t xml:space="preserve"> </w:t>
      </w:r>
      <w:r w:rsidR="00A96B55" w:rsidRPr="001A4D65">
        <w:rPr>
          <w:rFonts w:ascii="Times New Roman" w:hAnsi="Times New Roman"/>
          <w:b/>
        </w:rPr>
        <w:t xml:space="preserve">legislative </w:t>
      </w:r>
      <w:r w:rsidR="00260A8A" w:rsidRPr="001A4D65">
        <w:rPr>
          <w:rFonts w:ascii="Times New Roman" w:hAnsi="Times New Roman"/>
          <w:b/>
        </w:rPr>
        <w:t>tuition and mandatory f</w:t>
      </w:r>
      <w:r w:rsidR="00D67112" w:rsidRPr="001A4D65">
        <w:rPr>
          <w:rFonts w:ascii="Times New Roman" w:hAnsi="Times New Roman"/>
          <w:b/>
        </w:rPr>
        <w:t>ee limits for resident and nonresident undergraduate, graduate, and professional programs</w:t>
      </w:r>
      <w:r w:rsidR="00014CCD" w:rsidRPr="001A4D65">
        <w:rPr>
          <w:rFonts w:ascii="Times New Roman" w:hAnsi="Times New Roman"/>
          <w:b/>
        </w:rPr>
        <w:t xml:space="preserve"> for </w:t>
      </w:r>
      <w:r w:rsidR="00570FCF">
        <w:rPr>
          <w:rFonts w:ascii="Times New Roman" w:hAnsi="Times New Roman"/>
          <w:b/>
        </w:rPr>
        <w:t>Fiscal Year 20</w:t>
      </w:r>
      <w:r w:rsidR="000E71B2">
        <w:rPr>
          <w:rFonts w:ascii="Times New Roman" w:hAnsi="Times New Roman"/>
          <w:b/>
        </w:rPr>
        <w:t>2</w:t>
      </w:r>
      <w:r w:rsidR="00BE1AD0">
        <w:rPr>
          <w:rFonts w:ascii="Times New Roman" w:hAnsi="Times New Roman"/>
          <w:b/>
        </w:rPr>
        <w:t>5</w:t>
      </w:r>
      <w:r w:rsidR="00260A8A" w:rsidRPr="001A4D65">
        <w:rPr>
          <w:rFonts w:ascii="Times New Roman" w:hAnsi="Times New Roman"/>
          <w:b/>
        </w:rPr>
        <w:t xml:space="preserve">; and 2) </w:t>
      </w:r>
      <w:r w:rsidR="00D67112" w:rsidRPr="001A4D65">
        <w:rPr>
          <w:rFonts w:ascii="Times New Roman" w:hAnsi="Times New Roman"/>
          <w:b/>
        </w:rPr>
        <w:t>institu</w:t>
      </w:r>
      <w:r w:rsidR="00260A8A" w:rsidRPr="001A4D65">
        <w:rPr>
          <w:rFonts w:ascii="Times New Roman" w:hAnsi="Times New Roman"/>
          <w:b/>
        </w:rPr>
        <w:t>tional requests for changes to a</w:t>
      </w:r>
      <w:r w:rsidR="00D67112" w:rsidRPr="001A4D65">
        <w:rPr>
          <w:rFonts w:ascii="Times New Roman" w:hAnsi="Times New Roman"/>
          <w:b/>
        </w:rPr>
        <w:t xml:space="preserve">cademic </w:t>
      </w:r>
      <w:r w:rsidR="00260A8A" w:rsidRPr="001A4D65">
        <w:rPr>
          <w:rFonts w:ascii="Times New Roman" w:hAnsi="Times New Roman"/>
          <w:b/>
        </w:rPr>
        <w:t>s</w:t>
      </w:r>
      <w:r w:rsidR="00D67112" w:rsidRPr="001A4D65">
        <w:rPr>
          <w:rFonts w:ascii="Times New Roman" w:hAnsi="Times New Roman"/>
          <w:b/>
        </w:rPr>
        <w:t xml:space="preserve">ervices </w:t>
      </w:r>
      <w:r w:rsidR="00260A8A" w:rsidRPr="001A4D65">
        <w:rPr>
          <w:rFonts w:ascii="Times New Roman" w:hAnsi="Times New Roman"/>
          <w:b/>
        </w:rPr>
        <w:t>f</w:t>
      </w:r>
      <w:r w:rsidR="00D67112" w:rsidRPr="001A4D65">
        <w:rPr>
          <w:rFonts w:ascii="Times New Roman" w:hAnsi="Times New Roman"/>
          <w:b/>
        </w:rPr>
        <w:t xml:space="preserve">ees for </w:t>
      </w:r>
      <w:r w:rsidR="00570FCF">
        <w:rPr>
          <w:rFonts w:ascii="Times New Roman" w:hAnsi="Times New Roman"/>
          <w:b/>
        </w:rPr>
        <w:t>Fiscal Year 20</w:t>
      </w:r>
      <w:r w:rsidR="000E71B2">
        <w:rPr>
          <w:rFonts w:ascii="Times New Roman" w:hAnsi="Times New Roman"/>
          <w:b/>
        </w:rPr>
        <w:t>2</w:t>
      </w:r>
      <w:r w:rsidR="00BE1AD0">
        <w:rPr>
          <w:rFonts w:ascii="Times New Roman" w:hAnsi="Times New Roman"/>
          <w:b/>
        </w:rPr>
        <w:t>5</w:t>
      </w:r>
      <w:r w:rsidR="00D67112" w:rsidRPr="001A4D65">
        <w:rPr>
          <w:rFonts w:ascii="Times New Roman" w:hAnsi="Times New Roman"/>
          <w:b/>
        </w:rPr>
        <w:t>, as reported on the attached schedule</w:t>
      </w:r>
      <w:r w:rsidR="00A96B55" w:rsidRPr="001A4D65">
        <w:rPr>
          <w:rFonts w:ascii="Times New Roman" w:hAnsi="Times New Roman"/>
          <w:b/>
        </w:rPr>
        <w:t>s</w:t>
      </w:r>
      <w:r w:rsidR="00CF2387" w:rsidRPr="001A4D65">
        <w:rPr>
          <w:rFonts w:ascii="Times New Roman" w:hAnsi="Times New Roman"/>
          <w:b/>
        </w:rPr>
        <w:t>.</w:t>
      </w:r>
    </w:p>
    <w:p w:rsidR="00D25F53" w:rsidRPr="00CF6595" w:rsidRDefault="00D25F53">
      <w:pPr>
        <w:rPr>
          <w:rFonts w:ascii="Times New Roman" w:hAnsi="Times New Roman"/>
          <w:b/>
          <w:sz w:val="16"/>
          <w:szCs w:val="16"/>
          <w:u w:val="single"/>
        </w:rPr>
      </w:pPr>
    </w:p>
    <w:p w:rsidR="004D06C2" w:rsidRPr="00CF6595" w:rsidRDefault="004D06C2">
      <w:pPr>
        <w:rPr>
          <w:rFonts w:ascii="Times New Roman" w:hAnsi="Times New Roman"/>
          <w:b/>
          <w:sz w:val="16"/>
          <w:szCs w:val="16"/>
        </w:rPr>
      </w:pPr>
    </w:p>
    <w:p w:rsidR="00A74EBE" w:rsidRPr="001A4D65" w:rsidRDefault="00A74EBE">
      <w:pPr>
        <w:rPr>
          <w:rFonts w:ascii="Times New Roman" w:hAnsi="Times New Roman"/>
          <w:b/>
        </w:rPr>
      </w:pPr>
      <w:r w:rsidRPr="001A4D65">
        <w:rPr>
          <w:rFonts w:ascii="Times New Roman" w:hAnsi="Times New Roman"/>
          <w:b/>
        </w:rPr>
        <w:t>BACKGROUND:</w:t>
      </w:r>
    </w:p>
    <w:p w:rsidR="00A74EBE" w:rsidRPr="001A4D65" w:rsidRDefault="00A74EBE">
      <w:pPr>
        <w:rPr>
          <w:rFonts w:ascii="Times New Roman" w:hAnsi="Times New Roman"/>
        </w:rPr>
      </w:pPr>
    </w:p>
    <w:p w:rsidR="003A7C80" w:rsidRPr="001A4D65" w:rsidRDefault="00C13200">
      <w:pPr>
        <w:rPr>
          <w:rFonts w:ascii="Times New Roman" w:hAnsi="Times New Roman"/>
          <w:b/>
        </w:rPr>
      </w:pPr>
      <w:r w:rsidRPr="001A4D65">
        <w:rPr>
          <w:rFonts w:ascii="Times New Roman" w:hAnsi="Times New Roman"/>
          <w:b/>
        </w:rPr>
        <w:t>Constitutional and Statutory Provisions for the Coordination of Higher Education Tuition and Fees</w:t>
      </w:r>
    </w:p>
    <w:p w:rsidR="003A7C80" w:rsidRPr="001A4D65" w:rsidRDefault="003A7C80">
      <w:pPr>
        <w:rPr>
          <w:rFonts w:ascii="Times New Roman" w:hAnsi="Times New Roman"/>
        </w:rPr>
      </w:pPr>
    </w:p>
    <w:p w:rsidR="00FB1583" w:rsidRPr="001A4D65" w:rsidRDefault="00E039FA" w:rsidP="00D67112">
      <w:pPr>
        <w:rPr>
          <w:rFonts w:ascii="Times New Roman" w:hAnsi="Times New Roman"/>
        </w:rPr>
      </w:pPr>
      <w:r w:rsidRPr="001A4D65">
        <w:rPr>
          <w:rFonts w:ascii="Times New Roman" w:hAnsi="Times New Roman"/>
        </w:rPr>
        <w:t>Article XIII-A of the Constitution of the State of Oklahoma establish</w:t>
      </w:r>
      <w:r w:rsidR="00D67112" w:rsidRPr="001A4D65">
        <w:rPr>
          <w:rFonts w:ascii="Times New Roman" w:hAnsi="Times New Roman"/>
        </w:rPr>
        <w:t>es</w:t>
      </w:r>
      <w:r w:rsidRPr="001A4D65">
        <w:rPr>
          <w:rFonts w:ascii="Times New Roman" w:hAnsi="Times New Roman"/>
        </w:rPr>
        <w:t xml:space="preserve"> the Oklahoma State Regents for Higher Education as the coordinating board of control for all public institutions in The Oklahoma State System of Higher Education.</w:t>
      </w:r>
      <w:r w:rsidR="00BD3FE5">
        <w:rPr>
          <w:rFonts w:ascii="Times New Roman" w:hAnsi="Times New Roman"/>
        </w:rPr>
        <w:t xml:space="preserve"> </w:t>
      </w:r>
      <w:r w:rsidR="00D67112" w:rsidRPr="001A4D65">
        <w:rPr>
          <w:rFonts w:ascii="Times New Roman" w:hAnsi="Times New Roman"/>
        </w:rPr>
        <w:t>Among others, s</w:t>
      </w:r>
      <w:r w:rsidRPr="001A4D65">
        <w:rPr>
          <w:rFonts w:ascii="Times New Roman" w:hAnsi="Times New Roman"/>
        </w:rPr>
        <w:t>pecific powers enumerated include the power to prescribe and coordinate student fees and tuition</w:t>
      </w:r>
      <w:r w:rsidR="00D67112" w:rsidRPr="001A4D65">
        <w:rPr>
          <w:rFonts w:ascii="Times New Roman" w:hAnsi="Times New Roman"/>
        </w:rPr>
        <w:t xml:space="preserve"> within limits prescribed by the Legislature</w:t>
      </w:r>
      <w:r w:rsidRPr="001A4D65">
        <w:rPr>
          <w:rFonts w:ascii="Times New Roman" w:hAnsi="Times New Roman"/>
        </w:rPr>
        <w:t>.</w:t>
      </w:r>
      <w:r w:rsidR="00BD3FE5">
        <w:rPr>
          <w:rFonts w:ascii="Times New Roman" w:hAnsi="Times New Roman"/>
        </w:rPr>
        <w:t xml:space="preserve"> </w:t>
      </w:r>
      <w:r w:rsidR="00FE5D35" w:rsidRPr="001A4D65">
        <w:rPr>
          <w:rFonts w:ascii="Times New Roman" w:hAnsi="Times New Roman"/>
        </w:rPr>
        <w:t>T</w:t>
      </w:r>
      <w:r w:rsidRPr="001A4D65">
        <w:rPr>
          <w:rFonts w:ascii="Times New Roman" w:hAnsi="Times New Roman"/>
        </w:rPr>
        <w:t xml:space="preserve">he State Regents </w:t>
      </w:r>
      <w:r w:rsidR="00FE5D35" w:rsidRPr="001A4D65">
        <w:rPr>
          <w:rFonts w:ascii="Times New Roman" w:hAnsi="Times New Roman"/>
        </w:rPr>
        <w:t xml:space="preserve">are authorized </w:t>
      </w:r>
      <w:r w:rsidRPr="001A4D65">
        <w:rPr>
          <w:rFonts w:ascii="Times New Roman" w:hAnsi="Times New Roman"/>
        </w:rPr>
        <w:t xml:space="preserve">to </w:t>
      </w:r>
      <w:r w:rsidR="00FE5D35" w:rsidRPr="001A4D65">
        <w:rPr>
          <w:rFonts w:ascii="Times New Roman" w:hAnsi="Times New Roman"/>
        </w:rPr>
        <w:t xml:space="preserve">1) </w:t>
      </w:r>
      <w:r w:rsidRPr="001A4D65">
        <w:rPr>
          <w:rFonts w:ascii="Times New Roman" w:hAnsi="Times New Roman"/>
        </w:rPr>
        <w:t xml:space="preserve">establish </w:t>
      </w:r>
      <w:r w:rsidR="00D67112" w:rsidRPr="001A4D65">
        <w:rPr>
          <w:rFonts w:ascii="Times New Roman" w:hAnsi="Times New Roman"/>
        </w:rPr>
        <w:t xml:space="preserve">resident </w:t>
      </w:r>
      <w:r w:rsidR="00260A8A" w:rsidRPr="001A4D65">
        <w:rPr>
          <w:rFonts w:ascii="Times New Roman" w:hAnsi="Times New Roman"/>
        </w:rPr>
        <w:t>t</w:t>
      </w:r>
      <w:r w:rsidRPr="001A4D65">
        <w:rPr>
          <w:rFonts w:ascii="Times New Roman" w:hAnsi="Times New Roman"/>
        </w:rPr>
        <w:t xml:space="preserve">uition and </w:t>
      </w:r>
      <w:r w:rsidR="00260A8A" w:rsidRPr="001A4D65">
        <w:rPr>
          <w:rFonts w:ascii="Times New Roman" w:hAnsi="Times New Roman"/>
        </w:rPr>
        <w:t>m</w:t>
      </w:r>
      <w:r w:rsidRPr="001A4D65">
        <w:rPr>
          <w:rFonts w:ascii="Times New Roman" w:hAnsi="Times New Roman"/>
        </w:rPr>
        <w:t xml:space="preserve">andatory </w:t>
      </w:r>
      <w:r w:rsidR="00260A8A" w:rsidRPr="001A4D65">
        <w:rPr>
          <w:rFonts w:ascii="Times New Roman" w:hAnsi="Times New Roman"/>
        </w:rPr>
        <w:t>f</w:t>
      </w:r>
      <w:r w:rsidRPr="001A4D65">
        <w:rPr>
          <w:rFonts w:ascii="Times New Roman" w:hAnsi="Times New Roman"/>
        </w:rPr>
        <w:t xml:space="preserve">ees </w:t>
      </w:r>
      <w:r w:rsidR="00D67112" w:rsidRPr="001A4D65">
        <w:rPr>
          <w:rFonts w:ascii="Times New Roman" w:hAnsi="Times New Roman"/>
        </w:rPr>
        <w:t>a</w:t>
      </w:r>
      <w:r w:rsidRPr="001A4D65">
        <w:rPr>
          <w:rFonts w:ascii="Times New Roman" w:hAnsi="Times New Roman"/>
        </w:rPr>
        <w:t>t</w:t>
      </w:r>
      <w:r w:rsidR="00D67112" w:rsidRPr="001A4D65">
        <w:rPr>
          <w:rFonts w:ascii="Times New Roman" w:hAnsi="Times New Roman"/>
        </w:rPr>
        <w:t xml:space="preserve"> levels less than</w:t>
      </w:r>
      <w:r w:rsidRPr="001A4D65">
        <w:rPr>
          <w:rFonts w:ascii="Times New Roman" w:hAnsi="Times New Roman"/>
        </w:rPr>
        <w:t xml:space="preserve"> the average rate charged at </w:t>
      </w:r>
      <w:r w:rsidR="00D67112" w:rsidRPr="001A4D65">
        <w:rPr>
          <w:rFonts w:ascii="Times New Roman" w:hAnsi="Times New Roman"/>
        </w:rPr>
        <w:t xml:space="preserve">public </w:t>
      </w:r>
      <w:r w:rsidRPr="001A4D65">
        <w:rPr>
          <w:rFonts w:ascii="Times New Roman" w:hAnsi="Times New Roman"/>
        </w:rPr>
        <w:t xml:space="preserve">institutions in the Big Twelve Conference for </w:t>
      </w:r>
      <w:r w:rsidR="00B20BDC" w:rsidRPr="001A4D65">
        <w:rPr>
          <w:rFonts w:ascii="Times New Roman" w:hAnsi="Times New Roman"/>
        </w:rPr>
        <w:t>r</w:t>
      </w:r>
      <w:r w:rsidRPr="001A4D65">
        <w:rPr>
          <w:rFonts w:ascii="Times New Roman" w:hAnsi="Times New Roman"/>
        </w:rPr>
        <w:t>e</w:t>
      </w:r>
      <w:r w:rsidR="00B20BDC" w:rsidRPr="001A4D65">
        <w:rPr>
          <w:rFonts w:ascii="Times New Roman" w:hAnsi="Times New Roman"/>
        </w:rPr>
        <w:t>search</w:t>
      </w:r>
      <w:r w:rsidRPr="001A4D65">
        <w:rPr>
          <w:rFonts w:ascii="Times New Roman" w:hAnsi="Times New Roman"/>
        </w:rPr>
        <w:t xml:space="preserve"> universities </w:t>
      </w:r>
      <w:r w:rsidR="00D67112" w:rsidRPr="001A4D65">
        <w:rPr>
          <w:rFonts w:ascii="Times New Roman" w:hAnsi="Times New Roman"/>
        </w:rPr>
        <w:t>a</w:t>
      </w:r>
      <w:r w:rsidRPr="001A4D65">
        <w:rPr>
          <w:rFonts w:ascii="Times New Roman" w:hAnsi="Times New Roman"/>
        </w:rPr>
        <w:t>n</w:t>
      </w:r>
      <w:r w:rsidR="00D67112" w:rsidRPr="001A4D65">
        <w:rPr>
          <w:rFonts w:ascii="Times New Roman" w:hAnsi="Times New Roman"/>
        </w:rPr>
        <w:t>d</w:t>
      </w:r>
      <w:r w:rsidRPr="001A4D65">
        <w:rPr>
          <w:rFonts w:ascii="Times New Roman" w:hAnsi="Times New Roman"/>
        </w:rPr>
        <w:t xml:space="preserve"> </w:t>
      </w:r>
      <w:r w:rsidR="00D67112" w:rsidRPr="001A4D65">
        <w:rPr>
          <w:rFonts w:ascii="Times New Roman" w:hAnsi="Times New Roman"/>
        </w:rPr>
        <w:t xml:space="preserve">less than </w:t>
      </w:r>
      <w:r w:rsidRPr="001A4D65">
        <w:rPr>
          <w:rFonts w:ascii="Times New Roman" w:hAnsi="Times New Roman"/>
        </w:rPr>
        <w:t xml:space="preserve">the average rate charged at peer institutions for regional </w:t>
      </w:r>
      <w:r w:rsidR="00B20BDC" w:rsidRPr="001A4D65">
        <w:rPr>
          <w:rFonts w:ascii="Times New Roman" w:hAnsi="Times New Roman"/>
        </w:rPr>
        <w:t>universities and community colleges</w:t>
      </w:r>
      <w:r w:rsidR="00FE5D35" w:rsidRPr="001A4D65">
        <w:rPr>
          <w:rFonts w:ascii="Times New Roman" w:hAnsi="Times New Roman"/>
        </w:rPr>
        <w:t>, 2)</w:t>
      </w:r>
      <w:r w:rsidR="00260A8A" w:rsidRPr="001A4D65">
        <w:rPr>
          <w:rFonts w:ascii="Times New Roman" w:hAnsi="Times New Roman"/>
        </w:rPr>
        <w:t xml:space="preserve"> establish academic services f</w:t>
      </w:r>
      <w:r w:rsidRPr="001A4D65">
        <w:rPr>
          <w:rFonts w:ascii="Times New Roman" w:hAnsi="Times New Roman"/>
        </w:rPr>
        <w:t>ees, not to exceed the cost of the actual services provided</w:t>
      </w:r>
      <w:r w:rsidR="00FE5D35" w:rsidRPr="001A4D65">
        <w:rPr>
          <w:rFonts w:ascii="Times New Roman" w:hAnsi="Times New Roman"/>
        </w:rPr>
        <w:t>, and 3)</w:t>
      </w:r>
      <w:r w:rsidRPr="001A4D65">
        <w:rPr>
          <w:rFonts w:ascii="Times New Roman" w:hAnsi="Times New Roman"/>
        </w:rPr>
        <w:t xml:space="preserve"> make a reasonable effort to increase need-based financial aid available to students proportionate to any increase in tuition</w:t>
      </w:r>
      <w:r w:rsidR="00FE5D35" w:rsidRPr="001A4D65">
        <w:rPr>
          <w:rFonts w:ascii="Times New Roman" w:hAnsi="Times New Roman"/>
        </w:rPr>
        <w:t>, as well as annually report on tuition and fees</w:t>
      </w:r>
      <w:r w:rsidRPr="001A4D65">
        <w:rPr>
          <w:rFonts w:ascii="Times New Roman" w:hAnsi="Times New Roman"/>
        </w:rPr>
        <w:t>.</w:t>
      </w:r>
      <w:r w:rsidR="00BD3FE5">
        <w:rPr>
          <w:rFonts w:ascii="Times New Roman" w:hAnsi="Times New Roman"/>
        </w:rPr>
        <w:t xml:space="preserve"> </w:t>
      </w:r>
    </w:p>
    <w:p w:rsidR="00FE5D35" w:rsidRPr="001A4D65" w:rsidRDefault="00FE5D35" w:rsidP="00D67112">
      <w:pPr>
        <w:rPr>
          <w:rFonts w:ascii="Times New Roman" w:hAnsi="Times New Roman"/>
        </w:rPr>
      </w:pPr>
    </w:p>
    <w:p w:rsidR="00D67112" w:rsidRPr="001A4D65" w:rsidRDefault="00D67112" w:rsidP="00D67112">
      <w:pPr>
        <w:rPr>
          <w:rFonts w:ascii="Times New Roman" w:hAnsi="Times New Roman"/>
        </w:rPr>
      </w:pPr>
      <w:r w:rsidRPr="001A4D65">
        <w:rPr>
          <w:rFonts w:ascii="Times New Roman" w:hAnsi="Times New Roman"/>
          <w:b/>
        </w:rPr>
        <w:t xml:space="preserve">1) </w:t>
      </w:r>
      <w:r w:rsidR="00A96B55" w:rsidRPr="001A4D65">
        <w:rPr>
          <w:rFonts w:ascii="Times New Roman" w:hAnsi="Times New Roman"/>
          <w:b/>
        </w:rPr>
        <w:t xml:space="preserve">Legislative </w:t>
      </w:r>
      <w:r w:rsidRPr="001A4D65">
        <w:rPr>
          <w:rFonts w:ascii="Times New Roman" w:hAnsi="Times New Roman"/>
          <w:b/>
        </w:rPr>
        <w:t>Tuition and Mandatory Fee Limits</w:t>
      </w:r>
    </w:p>
    <w:p w:rsidR="00D67112" w:rsidRPr="001A4D65" w:rsidRDefault="00D67112" w:rsidP="00D67112">
      <w:pPr>
        <w:rPr>
          <w:rFonts w:ascii="Times New Roman" w:hAnsi="Times New Roman"/>
        </w:rPr>
      </w:pPr>
    </w:p>
    <w:p w:rsidR="00D67112" w:rsidRDefault="00D67112">
      <w:pPr>
        <w:rPr>
          <w:rFonts w:ascii="Times New Roman" w:hAnsi="Times New Roman"/>
        </w:rPr>
      </w:pPr>
      <w:r w:rsidRPr="001A4D65">
        <w:rPr>
          <w:rFonts w:ascii="Times New Roman" w:hAnsi="Times New Roman"/>
        </w:rPr>
        <w:t>The attached schedule lists “Not to Exceed</w:t>
      </w:r>
      <w:r w:rsidR="00260A8A" w:rsidRPr="001A4D65">
        <w:rPr>
          <w:rFonts w:ascii="Times New Roman" w:hAnsi="Times New Roman"/>
        </w:rPr>
        <w:t>” amounts</w:t>
      </w:r>
      <w:r w:rsidRPr="001A4D65">
        <w:rPr>
          <w:rFonts w:ascii="Times New Roman" w:hAnsi="Times New Roman"/>
        </w:rPr>
        <w:t xml:space="preserve"> for </w:t>
      </w:r>
      <w:r w:rsidR="00260A8A" w:rsidRPr="001A4D65">
        <w:rPr>
          <w:rFonts w:ascii="Times New Roman" w:hAnsi="Times New Roman"/>
        </w:rPr>
        <w:t>t</w:t>
      </w:r>
      <w:r w:rsidRPr="001A4D65">
        <w:rPr>
          <w:rFonts w:ascii="Times New Roman" w:hAnsi="Times New Roman"/>
        </w:rPr>
        <w:t xml:space="preserve">uition and </w:t>
      </w:r>
      <w:r w:rsidR="00260A8A" w:rsidRPr="001A4D65">
        <w:rPr>
          <w:rFonts w:ascii="Times New Roman" w:hAnsi="Times New Roman"/>
        </w:rPr>
        <w:t>m</w:t>
      </w:r>
      <w:r w:rsidRPr="001A4D65">
        <w:rPr>
          <w:rFonts w:ascii="Times New Roman" w:hAnsi="Times New Roman"/>
        </w:rPr>
        <w:t xml:space="preserve">andatory </w:t>
      </w:r>
      <w:r w:rsidR="00260A8A" w:rsidRPr="001A4D65">
        <w:rPr>
          <w:rFonts w:ascii="Times New Roman" w:hAnsi="Times New Roman"/>
        </w:rPr>
        <w:t>f</w:t>
      </w:r>
      <w:r w:rsidRPr="001A4D65">
        <w:rPr>
          <w:rFonts w:ascii="Times New Roman" w:hAnsi="Times New Roman"/>
        </w:rPr>
        <w:t>ees</w:t>
      </w:r>
      <w:r w:rsidR="00736488" w:rsidRPr="001A4D65">
        <w:rPr>
          <w:rFonts w:ascii="Times New Roman" w:hAnsi="Times New Roman"/>
        </w:rPr>
        <w:t xml:space="preserve"> that are recommended for posting at this time</w:t>
      </w:r>
      <w:r w:rsidRPr="001A4D65">
        <w:rPr>
          <w:rFonts w:ascii="Times New Roman" w:hAnsi="Times New Roman"/>
        </w:rPr>
        <w:t xml:space="preserve"> for </w:t>
      </w:r>
      <w:r w:rsidR="000E71B2">
        <w:rPr>
          <w:rFonts w:ascii="Times New Roman" w:hAnsi="Times New Roman"/>
        </w:rPr>
        <w:t>Fiscal Year 202</w:t>
      </w:r>
      <w:r w:rsidR="00BE1AD0">
        <w:rPr>
          <w:rFonts w:ascii="Times New Roman" w:hAnsi="Times New Roman"/>
        </w:rPr>
        <w:t>5</w:t>
      </w:r>
      <w:r w:rsidRPr="001A4D65">
        <w:rPr>
          <w:rFonts w:ascii="Times New Roman" w:hAnsi="Times New Roman"/>
        </w:rPr>
        <w:t>, as provided by law</w:t>
      </w:r>
      <w:r w:rsidR="00FB1583" w:rsidRPr="001A4D65">
        <w:rPr>
          <w:rFonts w:ascii="Times New Roman" w:hAnsi="Times New Roman"/>
        </w:rPr>
        <w:t>, for</w:t>
      </w:r>
      <w:r w:rsidR="00260A8A" w:rsidRPr="001A4D65">
        <w:rPr>
          <w:rFonts w:ascii="Times New Roman" w:hAnsi="Times New Roman"/>
        </w:rPr>
        <w:t xml:space="preserve"> resident and nonresident tuition and m</w:t>
      </w:r>
      <w:r w:rsidRPr="001A4D65">
        <w:rPr>
          <w:rFonts w:ascii="Times New Roman" w:hAnsi="Times New Roman"/>
        </w:rPr>
        <w:t>andator</w:t>
      </w:r>
      <w:r w:rsidR="00260A8A" w:rsidRPr="001A4D65">
        <w:rPr>
          <w:rFonts w:ascii="Times New Roman" w:hAnsi="Times New Roman"/>
        </w:rPr>
        <w:t>y f</w:t>
      </w:r>
      <w:r w:rsidRPr="001A4D65">
        <w:rPr>
          <w:rFonts w:ascii="Times New Roman" w:hAnsi="Times New Roman"/>
        </w:rPr>
        <w:t>ees for undergraduate, graduate, and professional programs.</w:t>
      </w:r>
      <w:r w:rsidR="00BD3FE5">
        <w:rPr>
          <w:rFonts w:ascii="Times New Roman" w:hAnsi="Times New Roman"/>
        </w:rPr>
        <w:t xml:space="preserve"> </w:t>
      </w:r>
      <w:r w:rsidR="00BF6F5D">
        <w:rPr>
          <w:rFonts w:ascii="Times New Roman" w:hAnsi="Times New Roman"/>
        </w:rPr>
        <w:t>The guaranteed tuition rate of undergraduate resident tuition charged to students shall not exceed one hundred and fifteen percent (115%) of the nonguaranteed tuition rate charged students at the same institution.</w:t>
      </w:r>
      <w:r w:rsidR="00BD3FE5">
        <w:rPr>
          <w:rFonts w:ascii="Times New Roman" w:hAnsi="Times New Roman"/>
        </w:rPr>
        <w:t xml:space="preserve"> </w:t>
      </w:r>
      <w:r w:rsidRPr="001A4D65">
        <w:rPr>
          <w:rFonts w:ascii="Times New Roman" w:hAnsi="Times New Roman"/>
        </w:rPr>
        <w:t>Institutions and governing boards will submit</w:t>
      </w:r>
      <w:r w:rsidR="00260A8A" w:rsidRPr="001A4D65">
        <w:rPr>
          <w:rFonts w:ascii="Times New Roman" w:hAnsi="Times New Roman"/>
        </w:rPr>
        <w:t xml:space="preserve"> their requested increases for t</w:t>
      </w:r>
      <w:r w:rsidRPr="001A4D65">
        <w:rPr>
          <w:rFonts w:ascii="Times New Roman" w:hAnsi="Times New Roman"/>
        </w:rPr>
        <w:t xml:space="preserve">uition and </w:t>
      </w:r>
      <w:r w:rsidR="00260A8A" w:rsidRPr="001A4D65">
        <w:rPr>
          <w:rFonts w:ascii="Times New Roman" w:hAnsi="Times New Roman"/>
        </w:rPr>
        <w:t>m</w:t>
      </w:r>
      <w:r w:rsidRPr="001A4D65">
        <w:rPr>
          <w:rFonts w:ascii="Times New Roman" w:hAnsi="Times New Roman"/>
        </w:rPr>
        <w:t xml:space="preserve">andatory </w:t>
      </w:r>
      <w:r w:rsidR="00260A8A" w:rsidRPr="001A4D65">
        <w:rPr>
          <w:rFonts w:ascii="Times New Roman" w:hAnsi="Times New Roman"/>
        </w:rPr>
        <w:t>f</w:t>
      </w:r>
      <w:r w:rsidRPr="001A4D65">
        <w:rPr>
          <w:rFonts w:ascii="Times New Roman" w:hAnsi="Times New Roman"/>
        </w:rPr>
        <w:t xml:space="preserve">ees for </w:t>
      </w:r>
      <w:r w:rsidR="00570FCF">
        <w:rPr>
          <w:rFonts w:ascii="Times New Roman" w:hAnsi="Times New Roman"/>
        </w:rPr>
        <w:t>Fiscal Year 20</w:t>
      </w:r>
      <w:r w:rsidR="000E71B2">
        <w:rPr>
          <w:rFonts w:ascii="Times New Roman" w:hAnsi="Times New Roman"/>
        </w:rPr>
        <w:t>2</w:t>
      </w:r>
      <w:r w:rsidR="00BE1AD0">
        <w:rPr>
          <w:rFonts w:ascii="Times New Roman" w:hAnsi="Times New Roman"/>
        </w:rPr>
        <w:t>5</w:t>
      </w:r>
      <w:r w:rsidR="004D1A99">
        <w:rPr>
          <w:rFonts w:ascii="Times New Roman" w:hAnsi="Times New Roman"/>
        </w:rPr>
        <w:t xml:space="preserve"> </w:t>
      </w:r>
      <w:r w:rsidRPr="001A4D65">
        <w:rPr>
          <w:rFonts w:ascii="Times New Roman" w:hAnsi="Times New Roman"/>
        </w:rPr>
        <w:t>in June, after the higher education appropriation is known.</w:t>
      </w:r>
      <w:r w:rsidR="00BD3FE5">
        <w:rPr>
          <w:rFonts w:ascii="Times New Roman" w:hAnsi="Times New Roman"/>
        </w:rPr>
        <w:t xml:space="preserve"> </w:t>
      </w:r>
      <w:r w:rsidRPr="001A4D65">
        <w:rPr>
          <w:rFonts w:ascii="Times New Roman" w:hAnsi="Times New Roman"/>
        </w:rPr>
        <w:t xml:space="preserve">It is expected that most institutions will request new rates that are </w:t>
      </w:r>
      <w:r w:rsidR="00BF6F5D">
        <w:rPr>
          <w:rFonts w:ascii="Times New Roman" w:hAnsi="Times New Roman"/>
        </w:rPr>
        <w:t xml:space="preserve">in compliance with and well under </w:t>
      </w:r>
      <w:r w:rsidRPr="001A4D65">
        <w:rPr>
          <w:rFonts w:ascii="Times New Roman" w:hAnsi="Times New Roman"/>
        </w:rPr>
        <w:t>the maximum rates.</w:t>
      </w:r>
      <w:r w:rsidR="00BD3FE5">
        <w:rPr>
          <w:rFonts w:ascii="Times New Roman" w:hAnsi="Times New Roman"/>
        </w:rPr>
        <w:t xml:space="preserve"> </w:t>
      </w:r>
    </w:p>
    <w:p w:rsidR="001661E8" w:rsidRDefault="001661E8">
      <w:pPr>
        <w:rPr>
          <w:rFonts w:ascii="Times New Roman" w:hAnsi="Times New Roman"/>
          <w:b/>
        </w:rPr>
      </w:pPr>
    </w:p>
    <w:p w:rsidR="008429CD" w:rsidRPr="001A4D65" w:rsidRDefault="00D67112">
      <w:pPr>
        <w:rPr>
          <w:rFonts w:ascii="Times New Roman" w:hAnsi="Times New Roman"/>
          <w:b/>
        </w:rPr>
      </w:pPr>
      <w:r w:rsidRPr="001A4D65">
        <w:rPr>
          <w:rFonts w:ascii="Times New Roman" w:hAnsi="Times New Roman"/>
          <w:b/>
        </w:rPr>
        <w:t>2</w:t>
      </w:r>
      <w:r w:rsidR="002E6696" w:rsidRPr="001A4D65">
        <w:rPr>
          <w:rFonts w:ascii="Times New Roman" w:hAnsi="Times New Roman"/>
          <w:b/>
        </w:rPr>
        <w:t xml:space="preserve">) </w:t>
      </w:r>
      <w:r w:rsidR="008429CD" w:rsidRPr="001A4D65">
        <w:rPr>
          <w:rFonts w:ascii="Times New Roman" w:hAnsi="Times New Roman"/>
          <w:b/>
        </w:rPr>
        <w:t>Academic Services Fees</w:t>
      </w:r>
    </w:p>
    <w:p w:rsidR="008429CD" w:rsidRPr="001A4D65" w:rsidRDefault="008429CD">
      <w:pPr>
        <w:rPr>
          <w:rFonts w:ascii="Times New Roman" w:hAnsi="Times New Roman"/>
        </w:rPr>
      </w:pPr>
    </w:p>
    <w:p w:rsidR="00434F2B" w:rsidRPr="001A4D65" w:rsidRDefault="00F55128" w:rsidP="00333069">
      <w:pPr>
        <w:rPr>
          <w:rFonts w:ascii="Times New Roman" w:hAnsi="Times New Roman"/>
        </w:rPr>
      </w:pPr>
      <w:r w:rsidRPr="001A4D65">
        <w:rPr>
          <w:rFonts w:ascii="Times New Roman" w:hAnsi="Times New Roman"/>
        </w:rPr>
        <w:t>Th</w:t>
      </w:r>
      <w:r w:rsidR="00D67112" w:rsidRPr="001A4D65">
        <w:rPr>
          <w:rFonts w:ascii="Times New Roman" w:hAnsi="Times New Roman"/>
        </w:rPr>
        <w:t>e</w:t>
      </w:r>
      <w:r w:rsidRPr="001A4D65">
        <w:rPr>
          <w:rFonts w:ascii="Times New Roman" w:hAnsi="Times New Roman"/>
        </w:rPr>
        <w:t xml:space="preserve"> </w:t>
      </w:r>
      <w:r w:rsidR="00B11561">
        <w:rPr>
          <w:rFonts w:ascii="Times New Roman" w:hAnsi="Times New Roman"/>
        </w:rPr>
        <w:t>supplemental</w:t>
      </w:r>
      <w:r w:rsidR="00D67112" w:rsidRPr="001A4D65">
        <w:rPr>
          <w:rFonts w:ascii="Times New Roman" w:hAnsi="Times New Roman"/>
        </w:rPr>
        <w:t xml:space="preserve"> schedule lists</w:t>
      </w:r>
      <w:r w:rsidR="00A4656C" w:rsidRPr="001A4D65">
        <w:rPr>
          <w:rFonts w:ascii="Times New Roman" w:hAnsi="Times New Roman"/>
        </w:rPr>
        <w:t xml:space="preserve"> </w:t>
      </w:r>
      <w:r w:rsidR="0017402E" w:rsidRPr="001A4D65">
        <w:rPr>
          <w:rFonts w:ascii="Times New Roman" w:hAnsi="Times New Roman"/>
        </w:rPr>
        <w:t xml:space="preserve">institutional </w:t>
      </w:r>
      <w:r w:rsidR="00A4656C" w:rsidRPr="001A4D65">
        <w:rPr>
          <w:rFonts w:ascii="Times New Roman" w:hAnsi="Times New Roman"/>
        </w:rPr>
        <w:t>request</w:t>
      </w:r>
      <w:r w:rsidR="0017402E" w:rsidRPr="001A4D65">
        <w:rPr>
          <w:rFonts w:ascii="Times New Roman" w:hAnsi="Times New Roman"/>
        </w:rPr>
        <w:t>s for</w:t>
      </w:r>
      <w:r w:rsidR="00A4656C" w:rsidRPr="001A4D65">
        <w:rPr>
          <w:rFonts w:ascii="Times New Roman" w:hAnsi="Times New Roman"/>
        </w:rPr>
        <w:t xml:space="preserve"> changes to</w:t>
      </w:r>
      <w:r w:rsidRPr="001A4D65">
        <w:rPr>
          <w:rFonts w:ascii="Times New Roman" w:hAnsi="Times New Roman"/>
        </w:rPr>
        <w:t xml:space="preserve"> </w:t>
      </w:r>
      <w:r w:rsidR="00260A8A" w:rsidRPr="001A4D65">
        <w:rPr>
          <w:rFonts w:ascii="Times New Roman" w:hAnsi="Times New Roman"/>
        </w:rPr>
        <w:t>a</w:t>
      </w:r>
      <w:r w:rsidRPr="001A4D65">
        <w:rPr>
          <w:rFonts w:ascii="Times New Roman" w:hAnsi="Times New Roman"/>
        </w:rPr>
        <w:t xml:space="preserve">cademic </w:t>
      </w:r>
      <w:r w:rsidR="00260A8A" w:rsidRPr="001A4D65">
        <w:rPr>
          <w:rFonts w:ascii="Times New Roman" w:hAnsi="Times New Roman"/>
        </w:rPr>
        <w:t>s</w:t>
      </w:r>
      <w:r w:rsidRPr="001A4D65">
        <w:rPr>
          <w:rFonts w:ascii="Times New Roman" w:hAnsi="Times New Roman"/>
        </w:rPr>
        <w:t xml:space="preserve">ervices </w:t>
      </w:r>
      <w:r w:rsidR="00260A8A" w:rsidRPr="001A4D65">
        <w:rPr>
          <w:rFonts w:ascii="Times New Roman" w:hAnsi="Times New Roman"/>
        </w:rPr>
        <w:t>f</w:t>
      </w:r>
      <w:r w:rsidRPr="001A4D65">
        <w:rPr>
          <w:rFonts w:ascii="Times New Roman" w:hAnsi="Times New Roman"/>
        </w:rPr>
        <w:t xml:space="preserve">ees for </w:t>
      </w:r>
      <w:r w:rsidR="00BE4730">
        <w:rPr>
          <w:rFonts w:ascii="Times New Roman" w:hAnsi="Times New Roman"/>
        </w:rPr>
        <w:t>Fiscal Year 20</w:t>
      </w:r>
      <w:r w:rsidR="000E71B2">
        <w:rPr>
          <w:rFonts w:ascii="Times New Roman" w:hAnsi="Times New Roman"/>
        </w:rPr>
        <w:t>2</w:t>
      </w:r>
      <w:r w:rsidR="00BE1AD0">
        <w:rPr>
          <w:rFonts w:ascii="Times New Roman" w:hAnsi="Times New Roman"/>
        </w:rPr>
        <w:t>5</w:t>
      </w:r>
      <w:r w:rsidRPr="001A4D65">
        <w:rPr>
          <w:rFonts w:ascii="Times New Roman" w:hAnsi="Times New Roman"/>
        </w:rPr>
        <w:t xml:space="preserve">. </w:t>
      </w:r>
      <w:r w:rsidR="00260A8A" w:rsidRPr="001A4D65">
        <w:rPr>
          <w:rFonts w:ascii="Times New Roman" w:hAnsi="Times New Roman"/>
        </w:rPr>
        <w:t>Institutions assess s</w:t>
      </w:r>
      <w:r w:rsidR="002E6696" w:rsidRPr="001A4D65">
        <w:rPr>
          <w:rFonts w:ascii="Times New Roman" w:hAnsi="Times New Roman"/>
        </w:rPr>
        <w:t xml:space="preserve">pecial </w:t>
      </w:r>
      <w:r w:rsidR="00260A8A" w:rsidRPr="001A4D65">
        <w:rPr>
          <w:rFonts w:ascii="Times New Roman" w:hAnsi="Times New Roman"/>
        </w:rPr>
        <w:t>f</w:t>
      </w:r>
      <w:r w:rsidR="002E6696" w:rsidRPr="001A4D65">
        <w:rPr>
          <w:rFonts w:ascii="Times New Roman" w:hAnsi="Times New Roman"/>
        </w:rPr>
        <w:t xml:space="preserve">ees for instruction and academic services as a condition of enrollment and </w:t>
      </w:r>
      <w:r w:rsidR="002E6696" w:rsidRPr="001A4D65">
        <w:rPr>
          <w:rFonts w:ascii="Times New Roman" w:hAnsi="Times New Roman"/>
        </w:rPr>
        <w:lastRenderedPageBreak/>
        <w:t>as a condition of academic recognition for completion of prescribed courses.</w:t>
      </w:r>
      <w:r w:rsidR="00BD3FE5">
        <w:rPr>
          <w:rFonts w:ascii="Times New Roman" w:hAnsi="Times New Roman"/>
        </w:rPr>
        <w:t xml:space="preserve"> </w:t>
      </w:r>
      <w:r w:rsidR="00FB1583" w:rsidRPr="001A4D65">
        <w:rPr>
          <w:rFonts w:ascii="Times New Roman" w:hAnsi="Times New Roman"/>
        </w:rPr>
        <w:t>These</w:t>
      </w:r>
      <w:r w:rsidR="002E6696" w:rsidRPr="001A4D65">
        <w:rPr>
          <w:rFonts w:ascii="Times New Roman" w:hAnsi="Times New Roman"/>
        </w:rPr>
        <w:t xml:space="preserve"> fees are </w:t>
      </w:r>
      <w:r w:rsidR="00D67112" w:rsidRPr="001A4D65">
        <w:rPr>
          <w:rFonts w:ascii="Times New Roman" w:hAnsi="Times New Roman"/>
        </w:rPr>
        <w:t>required</w:t>
      </w:r>
      <w:r w:rsidR="002E6696" w:rsidRPr="001A4D65">
        <w:rPr>
          <w:rFonts w:ascii="Times New Roman" w:hAnsi="Times New Roman"/>
        </w:rPr>
        <w:t xml:space="preserve"> for all students receiving</w:t>
      </w:r>
      <w:r w:rsidR="00D67112" w:rsidRPr="001A4D65">
        <w:rPr>
          <w:rFonts w:ascii="Times New Roman" w:hAnsi="Times New Roman"/>
        </w:rPr>
        <w:t xml:space="preserve"> certain</w:t>
      </w:r>
      <w:r w:rsidR="002E6696" w:rsidRPr="001A4D65">
        <w:rPr>
          <w:rFonts w:ascii="Times New Roman" w:hAnsi="Times New Roman"/>
        </w:rPr>
        <w:t xml:space="preserve"> courses of instruction or academic services as designated by the institution.</w:t>
      </w:r>
      <w:r w:rsidR="00BD3FE5">
        <w:rPr>
          <w:rFonts w:ascii="Times New Roman" w:hAnsi="Times New Roman"/>
        </w:rPr>
        <w:t xml:space="preserve"> </w:t>
      </w:r>
      <w:r w:rsidR="00FB1583" w:rsidRPr="001A4D65">
        <w:rPr>
          <w:rFonts w:ascii="Times New Roman" w:hAnsi="Times New Roman"/>
        </w:rPr>
        <w:t>T</w:t>
      </w:r>
      <w:r w:rsidR="00260A8A" w:rsidRPr="001A4D65">
        <w:rPr>
          <w:rFonts w:ascii="Times New Roman" w:hAnsi="Times New Roman"/>
        </w:rPr>
        <w:t>he requested changes to a</w:t>
      </w:r>
      <w:r w:rsidR="00C617F2" w:rsidRPr="001A4D65">
        <w:rPr>
          <w:rFonts w:ascii="Times New Roman" w:hAnsi="Times New Roman"/>
        </w:rPr>
        <w:t xml:space="preserve">cademic </w:t>
      </w:r>
      <w:r w:rsidR="00260A8A" w:rsidRPr="001A4D65">
        <w:rPr>
          <w:rFonts w:ascii="Times New Roman" w:hAnsi="Times New Roman"/>
        </w:rPr>
        <w:t>s</w:t>
      </w:r>
      <w:r w:rsidR="00C617F2" w:rsidRPr="001A4D65">
        <w:rPr>
          <w:rFonts w:ascii="Times New Roman" w:hAnsi="Times New Roman"/>
        </w:rPr>
        <w:t xml:space="preserve">ervices </w:t>
      </w:r>
      <w:r w:rsidR="00260A8A" w:rsidRPr="001A4D65">
        <w:rPr>
          <w:rFonts w:ascii="Times New Roman" w:hAnsi="Times New Roman"/>
        </w:rPr>
        <w:t>f</w:t>
      </w:r>
      <w:r w:rsidR="00C617F2" w:rsidRPr="001A4D65">
        <w:rPr>
          <w:rFonts w:ascii="Times New Roman" w:hAnsi="Times New Roman"/>
        </w:rPr>
        <w:t xml:space="preserve">ees </w:t>
      </w:r>
      <w:r w:rsidR="00FE5D35" w:rsidRPr="001A4D65">
        <w:rPr>
          <w:rFonts w:ascii="Times New Roman" w:hAnsi="Times New Roman"/>
        </w:rPr>
        <w:t xml:space="preserve">for </w:t>
      </w:r>
      <w:r w:rsidR="00570FCF">
        <w:rPr>
          <w:rFonts w:ascii="Times New Roman" w:hAnsi="Times New Roman"/>
        </w:rPr>
        <w:t>Fiscal Year 20</w:t>
      </w:r>
      <w:r w:rsidR="000E71B2">
        <w:rPr>
          <w:rFonts w:ascii="Times New Roman" w:hAnsi="Times New Roman"/>
        </w:rPr>
        <w:t>2</w:t>
      </w:r>
      <w:r w:rsidR="006C0F4B">
        <w:rPr>
          <w:rFonts w:ascii="Times New Roman" w:hAnsi="Times New Roman"/>
        </w:rPr>
        <w:t>4</w:t>
      </w:r>
      <w:r w:rsidR="00FE5D35" w:rsidRPr="001A4D65">
        <w:rPr>
          <w:rFonts w:ascii="Times New Roman" w:hAnsi="Times New Roman"/>
        </w:rPr>
        <w:t xml:space="preserve"> </w:t>
      </w:r>
      <w:r w:rsidR="00FB1583" w:rsidRPr="001A4D65">
        <w:rPr>
          <w:rFonts w:ascii="Times New Roman" w:hAnsi="Times New Roman"/>
        </w:rPr>
        <w:t>are</w:t>
      </w:r>
      <w:r w:rsidR="00C617F2" w:rsidRPr="001A4D65">
        <w:rPr>
          <w:rFonts w:ascii="Times New Roman" w:hAnsi="Times New Roman"/>
        </w:rPr>
        <w:t xml:space="preserve"> </w:t>
      </w:r>
      <w:r w:rsidR="00260A8A" w:rsidRPr="001A4D65">
        <w:rPr>
          <w:rFonts w:ascii="Times New Roman" w:hAnsi="Times New Roman"/>
        </w:rPr>
        <w:t>recommended for posting at this time</w:t>
      </w:r>
      <w:r w:rsidR="00CA270F" w:rsidRPr="001A4D65">
        <w:rPr>
          <w:rFonts w:ascii="Times New Roman" w:hAnsi="Times New Roman"/>
        </w:rPr>
        <w:t>.</w:t>
      </w:r>
      <w:r w:rsidR="00BD3FE5">
        <w:rPr>
          <w:rFonts w:ascii="Times New Roman" w:hAnsi="Times New Roman"/>
        </w:rPr>
        <w:t xml:space="preserve"> </w:t>
      </w:r>
      <w:r w:rsidR="00CA270F" w:rsidRPr="001A4D65">
        <w:rPr>
          <w:rFonts w:ascii="Times New Roman" w:hAnsi="Times New Roman"/>
        </w:rPr>
        <w:t xml:space="preserve">Institutions have provided justifications for requested increases in </w:t>
      </w:r>
      <w:r w:rsidR="00260A8A" w:rsidRPr="001A4D65">
        <w:rPr>
          <w:rFonts w:ascii="Times New Roman" w:hAnsi="Times New Roman"/>
        </w:rPr>
        <w:t>these fees</w:t>
      </w:r>
      <w:r w:rsidR="00CA270F" w:rsidRPr="001A4D65">
        <w:rPr>
          <w:rFonts w:ascii="Times New Roman" w:hAnsi="Times New Roman"/>
        </w:rPr>
        <w:t>, the total revenue to be collected from the fees, and the use of increased revenues.</w:t>
      </w:r>
      <w:r w:rsidR="00BD3FE5">
        <w:rPr>
          <w:rFonts w:ascii="Times New Roman" w:hAnsi="Times New Roman"/>
        </w:rPr>
        <w:t xml:space="preserve"> </w:t>
      </w:r>
    </w:p>
    <w:p w:rsidR="003A7C80" w:rsidRPr="001A4D65" w:rsidRDefault="003A7C80">
      <w:pPr>
        <w:rPr>
          <w:rFonts w:ascii="Times New Roman" w:hAnsi="Times New Roman"/>
        </w:rPr>
      </w:pPr>
    </w:p>
    <w:p w:rsidR="002E6696" w:rsidRPr="001A4D65" w:rsidRDefault="006418CA" w:rsidP="002E6696">
      <w:pPr>
        <w:rPr>
          <w:rFonts w:ascii="Times New Roman" w:hAnsi="Times New Roman"/>
        </w:rPr>
      </w:pPr>
      <w:r w:rsidRPr="00F67BA3">
        <w:rPr>
          <w:rFonts w:ascii="Times New Roman" w:hAnsi="Times New Roman"/>
        </w:rPr>
        <w:t>A public hearing will</w:t>
      </w:r>
      <w:r w:rsidR="002E6696" w:rsidRPr="00F67BA3">
        <w:rPr>
          <w:rFonts w:ascii="Times New Roman" w:hAnsi="Times New Roman"/>
        </w:rPr>
        <w:t xml:space="preserve"> be held </w:t>
      </w:r>
      <w:r w:rsidR="00F67BA3" w:rsidRPr="00601F66">
        <w:rPr>
          <w:rFonts w:ascii="Times New Roman" w:hAnsi="Times New Roman"/>
        </w:rPr>
        <w:t>April</w:t>
      </w:r>
      <w:r w:rsidR="00BE1AD0">
        <w:rPr>
          <w:rFonts w:ascii="Times New Roman" w:hAnsi="Times New Roman"/>
        </w:rPr>
        <w:t xml:space="preserve"> 25</w:t>
      </w:r>
      <w:r w:rsidR="00F67BA3" w:rsidRPr="00601F66">
        <w:rPr>
          <w:rFonts w:ascii="Times New Roman" w:hAnsi="Times New Roman"/>
        </w:rPr>
        <w:t>, 202</w:t>
      </w:r>
      <w:r w:rsidR="00BE1AD0">
        <w:rPr>
          <w:rFonts w:ascii="Times New Roman" w:hAnsi="Times New Roman"/>
        </w:rPr>
        <w:t>4</w:t>
      </w:r>
      <w:r w:rsidR="0030300C" w:rsidRPr="00F67BA3">
        <w:rPr>
          <w:rFonts w:ascii="Times New Roman" w:hAnsi="Times New Roman"/>
        </w:rPr>
        <w:t xml:space="preserve"> </w:t>
      </w:r>
      <w:r w:rsidR="002E6696" w:rsidRPr="00F67BA3">
        <w:rPr>
          <w:rFonts w:ascii="Times New Roman" w:hAnsi="Times New Roman"/>
        </w:rPr>
        <w:t>for</w:t>
      </w:r>
      <w:r w:rsidR="002E6696" w:rsidRPr="001A4D65">
        <w:rPr>
          <w:rFonts w:ascii="Times New Roman" w:hAnsi="Times New Roman"/>
        </w:rPr>
        <w:t xml:space="preserve"> the purpose of receiving views and comments on the requested changes to </w:t>
      </w:r>
      <w:r w:rsidR="00260A8A" w:rsidRPr="001A4D65">
        <w:rPr>
          <w:rFonts w:ascii="Times New Roman" w:hAnsi="Times New Roman"/>
        </w:rPr>
        <w:t>a</w:t>
      </w:r>
      <w:r w:rsidR="002E6696" w:rsidRPr="001A4D65">
        <w:rPr>
          <w:rFonts w:ascii="Times New Roman" w:hAnsi="Times New Roman"/>
        </w:rPr>
        <w:t xml:space="preserve">cademic </w:t>
      </w:r>
      <w:r w:rsidR="00260A8A" w:rsidRPr="001A4D65">
        <w:rPr>
          <w:rFonts w:ascii="Times New Roman" w:hAnsi="Times New Roman"/>
        </w:rPr>
        <w:t>s</w:t>
      </w:r>
      <w:r w:rsidR="002E6696" w:rsidRPr="001A4D65">
        <w:rPr>
          <w:rFonts w:ascii="Times New Roman" w:hAnsi="Times New Roman"/>
        </w:rPr>
        <w:t xml:space="preserve">ervices </w:t>
      </w:r>
      <w:r w:rsidR="00260A8A" w:rsidRPr="001A4D65">
        <w:rPr>
          <w:rFonts w:ascii="Times New Roman" w:hAnsi="Times New Roman"/>
        </w:rPr>
        <w:t>f</w:t>
      </w:r>
      <w:r w:rsidR="002E6696" w:rsidRPr="001A4D65">
        <w:rPr>
          <w:rFonts w:ascii="Times New Roman" w:hAnsi="Times New Roman"/>
        </w:rPr>
        <w:t>ees</w:t>
      </w:r>
      <w:r w:rsidR="002F0F74">
        <w:rPr>
          <w:rFonts w:ascii="Times New Roman" w:hAnsi="Times New Roman"/>
        </w:rPr>
        <w:t>,</w:t>
      </w:r>
      <w:r w:rsidR="002E6696" w:rsidRPr="001A4D65">
        <w:rPr>
          <w:rFonts w:ascii="Times New Roman" w:hAnsi="Times New Roman"/>
        </w:rPr>
        <w:t xml:space="preserve"> and the </w:t>
      </w:r>
      <w:r w:rsidR="00A96B55" w:rsidRPr="001A4D65">
        <w:rPr>
          <w:rFonts w:ascii="Times New Roman" w:hAnsi="Times New Roman"/>
        </w:rPr>
        <w:t xml:space="preserve">legislative limits for </w:t>
      </w:r>
      <w:r w:rsidR="002E6696" w:rsidRPr="001A4D65">
        <w:rPr>
          <w:rFonts w:ascii="Times New Roman" w:hAnsi="Times New Roman"/>
        </w:rPr>
        <w:t xml:space="preserve">resident and nonresident </w:t>
      </w:r>
      <w:r w:rsidR="00260A8A" w:rsidRPr="001A4D65">
        <w:rPr>
          <w:rFonts w:ascii="Times New Roman" w:hAnsi="Times New Roman"/>
        </w:rPr>
        <w:t>t</w:t>
      </w:r>
      <w:r w:rsidR="002E6696" w:rsidRPr="001A4D65">
        <w:rPr>
          <w:rFonts w:ascii="Times New Roman" w:hAnsi="Times New Roman"/>
        </w:rPr>
        <w:t xml:space="preserve">uition and </w:t>
      </w:r>
      <w:r w:rsidR="00260A8A" w:rsidRPr="001A4D65">
        <w:rPr>
          <w:rFonts w:ascii="Times New Roman" w:hAnsi="Times New Roman"/>
        </w:rPr>
        <w:t>m</w:t>
      </w:r>
      <w:r w:rsidR="002E6696" w:rsidRPr="001A4D65">
        <w:rPr>
          <w:rFonts w:ascii="Times New Roman" w:hAnsi="Times New Roman"/>
        </w:rPr>
        <w:t xml:space="preserve">andatory </w:t>
      </w:r>
      <w:r w:rsidR="00260A8A" w:rsidRPr="001A4D65">
        <w:rPr>
          <w:rFonts w:ascii="Times New Roman" w:hAnsi="Times New Roman"/>
        </w:rPr>
        <w:t>f</w:t>
      </w:r>
      <w:r w:rsidR="002E6696" w:rsidRPr="001A4D65">
        <w:rPr>
          <w:rFonts w:ascii="Times New Roman" w:hAnsi="Times New Roman"/>
        </w:rPr>
        <w:t>ees.</w:t>
      </w:r>
      <w:r w:rsidR="00BD3FE5">
        <w:rPr>
          <w:rFonts w:ascii="Times New Roman" w:hAnsi="Times New Roman"/>
        </w:rPr>
        <w:t xml:space="preserve"> </w:t>
      </w:r>
      <w:r w:rsidR="009A685A" w:rsidRPr="001A4D65">
        <w:rPr>
          <w:rFonts w:ascii="Times New Roman" w:hAnsi="Times New Roman"/>
        </w:rPr>
        <w:t>Institutional requests ar</w:t>
      </w:r>
      <w:r w:rsidR="002E6696" w:rsidRPr="001A4D65">
        <w:rPr>
          <w:rFonts w:ascii="Times New Roman" w:hAnsi="Times New Roman"/>
        </w:rPr>
        <w:t>e posted here for discussion</w:t>
      </w:r>
      <w:r w:rsidR="009A685A" w:rsidRPr="001A4D65">
        <w:rPr>
          <w:rFonts w:ascii="Times New Roman" w:hAnsi="Times New Roman"/>
        </w:rPr>
        <w:t xml:space="preserve"> purposes</w:t>
      </w:r>
      <w:r w:rsidR="002E6696" w:rsidRPr="001A4D65">
        <w:rPr>
          <w:rFonts w:ascii="Times New Roman" w:hAnsi="Times New Roman"/>
        </w:rPr>
        <w:t>.</w:t>
      </w:r>
      <w:r w:rsidR="00BD3FE5">
        <w:rPr>
          <w:rFonts w:ascii="Times New Roman" w:hAnsi="Times New Roman"/>
        </w:rPr>
        <w:t xml:space="preserve"> </w:t>
      </w:r>
      <w:r w:rsidR="00DE6401" w:rsidRPr="001A4D65">
        <w:rPr>
          <w:rFonts w:ascii="Times New Roman" w:hAnsi="Times New Roman"/>
        </w:rPr>
        <w:t xml:space="preserve">The </w:t>
      </w:r>
      <w:r w:rsidR="00FE5D35" w:rsidRPr="001A4D65">
        <w:rPr>
          <w:rFonts w:ascii="Times New Roman" w:hAnsi="Times New Roman"/>
        </w:rPr>
        <w:t xml:space="preserve">State </w:t>
      </w:r>
      <w:r w:rsidR="00DE6401" w:rsidRPr="001A4D65">
        <w:rPr>
          <w:rFonts w:ascii="Times New Roman" w:hAnsi="Times New Roman"/>
        </w:rPr>
        <w:t xml:space="preserve">Regents will act on proposals at their regular meeting scheduled to be held on </w:t>
      </w:r>
      <w:r w:rsidR="0030300C">
        <w:rPr>
          <w:rFonts w:ascii="Times New Roman" w:hAnsi="Times New Roman"/>
        </w:rPr>
        <w:t xml:space="preserve">Thursday, </w:t>
      </w:r>
      <w:r w:rsidR="00DE6401" w:rsidRPr="001A4D65">
        <w:rPr>
          <w:rFonts w:ascii="Times New Roman" w:hAnsi="Times New Roman"/>
        </w:rPr>
        <w:t xml:space="preserve">June </w:t>
      </w:r>
      <w:r w:rsidR="00B11561">
        <w:rPr>
          <w:rFonts w:ascii="Times New Roman" w:hAnsi="Times New Roman"/>
        </w:rPr>
        <w:t>2</w:t>
      </w:r>
      <w:r w:rsidR="00BE1AD0">
        <w:rPr>
          <w:rFonts w:ascii="Times New Roman" w:hAnsi="Times New Roman"/>
        </w:rPr>
        <w:t>7</w:t>
      </w:r>
      <w:r w:rsidR="00B11561">
        <w:rPr>
          <w:rFonts w:ascii="Times New Roman" w:hAnsi="Times New Roman"/>
        </w:rPr>
        <w:t xml:space="preserve">, </w:t>
      </w:r>
      <w:r w:rsidR="005D3C9C">
        <w:rPr>
          <w:rFonts w:ascii="Times New Roman" w:hAnsi="Times New Roman"/>
        </w:rPr>
        <w:t>20</w:t>
      </w:r>
      <w:r w:rsidR="00EB6A61">
        <w:rPr>
          <w:rFonts w:ascii="Times New Roman" w:hAnsi="Times New Roman"/>
        </w:rPr>
        <w:t>2</w:t>
      </w:r>
      <w:r w:rsidR="00BE1AD0">
        <w:rPr>
          <w:rFonts w:ascii="Times New Roman" w:hAnsi="Times New Roman"/>
        </w:rPr>
        <w:t>4</w:t>
      </w:r>
      <w:r w:rsidR="00DE6401" w:rsidRPr="001A4D65">
        <w:rPr>
          <w:rFonts w:ascii="Times New Roman" w:hAnsi="Times New Roman"/>
        </w:rPr>
        <w:t>.</w:t>
      </w:r>
      <w:r w:rsidR="00BD3FE5">
        <w:rPr>
          <w:rFonts w:ascii="Times New Roman" w:hAnsi="Times New Roman"/>
        </w:rPr>
        <w:t xml:space="preserve"> </w:t>
      </w:r>
      <w:r w:rsidR="009A685A" w:rsidRPr="001A4D65">
        <w:rPr>
          <w:rFonts w:ascii="Times New Roman" w:hAnsi="Times New Roman"/>
        </w:rPr>
        <w:t>State Regents’ staff will</w:t>
      </w:r>
      <w:r w:rsidR="006200FC">
        <w:rPr>
          <w:rFonts w:ascii="Times New Roman" w:hAnsi="Times New Roman"/>
        </w:rPr>
        <w:t xml:space="preserve"> subsequently </w:t>
      </w:r>
      <w:r w:rsidR="009A685A" w:rsidRPr="001A4D65">
        <w:rPr>
          <w:rFonts w:ascii="Times New Roman" w:hAnsi="Times New Roman"/>
        </w:rPr>
        <w:t>review institutions’ published tuition and fee schedules for compliance with State Regents’ action.</w:t>
      </w:r>
    </w:p>
    <w:p w:rsidR="004D06C2" w:rsidRDefault="004D06C2">
      <w:pPr>
        <w:rPr>
          <w:rFonts w:ascii="Times New Roman" w:hAnsi="Times New Roman"/>
          <w:b/>
        </w:rPr>
      </w:pPr>
    </w:p>
    <w:p w:rsidR="00A74EBE" w:rsidRPr="001A4D65" w:rsidRDefault="00A74EBE">
      <w:pPr>
        <w:rPr>
          <w:rFonts w:ascii="Times New Roman" w:hAnsi="Times New Roman"/>
        </w:rPr>
      </w:pPr>
      <w:r w:rsidRPr="001A4D65">
        <w:rPr>
          <w:rFonts w:ascii="Times New Roman" w:hAnsi="Times New Roman"/>
          <w:b/>
        </w:rPr>
        <w:t>POLICY ISSUES:</w:t>
      </w:r>
    </w:p>
    <w:p w:rsidR="00A74EBE" w:rsidRPr="001A4D65" w:rsidRDefault="00A74EBE">
      <w:pPr>
        <w:rPr>
          <w:rFonts w:ascii="Times New Roman" w:hAnsi="Times New Roman"/>
        </w:rPr>
      </w:pPr>
    </w:p>
    <w:p w:rsidR="00A74EBE" w:rsidRPr="001A4D65" w:rsidRDefault="00CF2387">
      <w:pPr>
        <w:rPr>
          <w:rFonts w:ascii="Times New Roman" w:hAnsi="Times New Roman"/>
        </w:rPr>
      </w:pPr>
      <w:r w:rsidRPr="001A4D65">
        <w:rPr>
          <w:rFonts w:ascii="Times New Roman" w:hAnsi="Times New Roman"/>
        </w:rPr>
        <w:t xml:space="preserve">This item is consistent with the </w:t>
      </w:r>
      <w:r w:rsidR="00D9045D" w:rsidRPr="001A4D65">
        <w:rPr>
          <w:rFonts w:ascii="Times New Roman" w:hAnsi="Times New Roman"/>
        </w:rPr>
        <w:t xml:space="preserve">State Regents’ </w:t>
      </w:r>
      <w:r w:rsidRPr="001A4D65">
        <w:rPr>
          <w:rFonts w:ascii="Times New Roman" w:hAnsi="Times New Roman"/>
        </w:rPr>
        <w:t xml:space="preserve">Policy and Procedures </w:t>
      </w:r>
      <w:r w:rsidR="008429CD" w:rsidRPr="001A4D65">
        <w:rPr>
          <w:rFonts w:ascii="Times New Roman" w:hAnsi="Times New Roman"/>
        </w:rPr>
        <w:t>Relating to Tuition and Student F</w:t>
      </w:r>
      <w:r w:rsidRPr="001A4D65">
        <w:rPr>
          <w:rFonts w:ascii="Times New Roman" w:hAnsi="Times New Roman"/>
        </w:rPr>
        <w:t>ees.</w:t>
      </w:r>
      <w:r w:rsidR="00DF6F74" w:rsidRPr="001A4D65">
        <w:rPr>
          <w:rFonts w:ascii="Times New Roman" w:hAnsi="Times New Roman"/>
        </w:rPr>
        <w:t xml:space="preserve"> </w:t>
      </w:r>
    </w:p>
    <w:p w:rsidR="006E612F" w:rsidRPr="001A4D65" w:rsidRDefault="006E612F">
      <w:pPr>
        <w:rPr>
          <w:rFonts w:ascii="Times New Roman" w:hAnsi="Times New Roman"/>
          <w:b/>
        </w:rPr>
      </w:pPr>
    </w:p>
    <w:p w:rsidR="00A74EBE" w:rsidRPr="001A4D65" w:rsidRDefault="00A74EBE">
      <w:pPr>
        <w:rPr>
          <w:rFonts w:ascii="Times New Roman" w:hAnsi="Times New Roman"/>
        </w:rPr>
      </w:pPr>
      <w:r w:rsidRPr="00BE1AD0">
        <w:rPr>
          <w:rFonts w:ascii="Times New Roman" w:hAnsi="Times New Roman"/>
          <w:b/>
        </w:rPr>
        <w:t>ANALYSIS:</w:t>
      </w:r>
    </w:p>
    <w:p w:rsidR="00A74EBE" w:rsidRPr="001A4D65" w:rsidRDefault="00A74EBE">
      <w:pPr>
        <w:rPr>
          <w:rFonts w:ascii="Times New Roman" w:hAnsi="Times New Roman"/>
        </w:rPr>
      </w:pPr>
    </w:p>
    <w:p w:rsidR="009A685A" w:rsidRPr="001A4D65" w:rsidRDefault="00B20BDC" w:rsidP="009A685A">
      <w:pPr>
        <w:rPr>
          <w:rFonts w:ascii="Times New Roman" w:hAnsi="Times New Roman"/>
          <w:b/>
        </w:rPr>
      </w:pPr>
      <w:r w:rsidRPr="001A4D65">
        <w:rPr>
          <w:rFonts w:ascii="Times New Roman" w:hAnsi="Times New Roman"/>
          <w:b/>
        </w:rPr>
        <w:t xml:space="preserve">1) </w:t>
      </w:r>
      <w:r w:rsidR="00736488" w:rsidRPr="001A4D65">
        <w:rPr>
          <w:rFonts w:ascii="Times New Roman" w:hAnsi="Times New Roman"/>
          <w:b/>
        </w:rPr>
        <w:t xml:space="preserve">Legislative </w:t>
      </w:r>
      <w:r w:rsidR="009A685A" w:rsidRPr="001A4D65">
        <w:rPr>
          <w:rFonts w:ascii="Times New Roman" w:hAnsi="Times New Roman"/>
          <w:b/>
        </w:rPr>
        <w:t>Tuition and Mandatory Fee Limits</w:t>
      </w:r>
    </w:p>
    <w:p w:rsidR="009A685A" w:rsidRPr="001A4D65" w:rsidRDefault="009A685A" w:rsidP="009A685A">
      <w:pPr>
        <w:rPr>
          <w:rFonts w:ascii="Times New Roman" w:hAnsi="Times New Roman"/>
        </w:rPr>
      </w:pPr>
    </w:p>
    <w:p w:rsidR="009A685A" w:rsidRPr="00393644" w:rsidRDefault="00FE5D35" w:rsidP="009A685A">
      <w:pPr>
        <w:rPr>
          <w:rFonts w:ascii="Times New Roman" w:hAnsi="Times New Roman"/>
          <w:szCs w:val="22"/>
        </w:rPr>
      </w:pPr>
      <w:r w:rsidRPr="00393644">
        <w:rPr>
          <w:rFonts w:ascii="Times New Roman" w:hAnsi="Times New Roman"/>
          <w:szCs w:val="22"/>
        </w:rPr>
        <w:t xml:space="preserve">70 O. S., Section 3218.8, </w:t>
      </w:r>
      <w:r w:rsidR="009A685A" w:rsidRPr="00393644">
        <w:rPr>
          <w:rFonts w:ascii="Times New Roman" w:hAnsi="Times New Roman"/>
          <w:szCs w:val="22"/>
        </w:rPr>
        <w:t>specifies the</w:t>
      </w:r>
      <w:r w:rsidR="00736488" w:rsidRPr="00393644">
        <w:rPr>
          <w:rFonts w:ascii="Times New Roman" w:hAnsi="Times New Roman"/>
          <w:szCs w:val="22"/>
        </w:rPr>
        <w:t xml:space="preserve"> legislative</w:t>
      </w:r>
      <w:r w:rsidR="009A685A" w:rsidRPr="00393644">
        <w:rPr>
          <w:rFonts w:ascii="Times New Roman" w:hAnsi="Times New Roman"/>
          <w:szCs w:val="22"/>
        </w:rPr>
        <w:t xml:space="preserve"> limit</w:t>
      </w:r>
      <w:r w:rsidR="00C02152" w:rsidRPr="00393644">
        <w:rPr>
          <w:rFonts w:ascii="Times New Roman" w:hAnsi="Times New Roman"/>
          <w:szCs w:val="22"/>
        </w:rPr>
        <w:t>s for resident and nonresident tuition and mandatory f</w:t>
      </w:r>
      <w:r w:rsidR="009A685A" w:rsidRPr="00393644">
        <w:rPr>
          <w:rFonts w:ascii="Times New Roman" w:hAnsi="Times New Roman"/>
          <w:szCs w:val="22"/>
        </w:rPr>
        <w:t>ees by tier, i.e.</w:t>
      </w:r>
      <w:r w:rsidR="00C02152" w:rsidRPr="00393644">
        <w:rPr>
          <w:rFonts w:ascii="Times New Roman" w:hAnsi="Times New Roman"/>
          <w:szCs w:val="22"/>
        </w:rPr>
        <w:t>,</w:t>
      </w:r>
      <w:r w:rsidR="009A685A" w:rsidRPr="00393644">
        <w:rPr>
          <w:rFonts w:ascii="Times New Roman" w:hAnsi="Times New Roman"/>
          <w:szCs w:val="22"/>
        </w:rPr>
        <w:t xml:space="preserve"> </w:t>
      </w:r>
      <w:r w:rsidR="00C02152" w:rsidRPr="00393644">
        <w:rPr>
          <w:rFonts w:ascii="Times New Roman" w:hAnsi="Times New Roman"/>
          <w:szCs w:val="22"/>
        </w:rPr>
        <w:t>research</w:t>
      </w:r>
      <w:r w:rsidR="009A685A" w:rsidRPr="00393644">
        <w:rPr>
          <w:rFonts w:ascii="Times New Roman" w:hAnsi="Times New Roman"/>
          <w:szCs w:val="22"/>
        </w:rPr>
        <w:t xml:space="preserve"> universities, regional universities, </w:t>
      </w:r>
      <w:r w:rsidR="00A96B55" w:rsidRPr="00393644">
        <w:rPr>
          <w:rFonts w:ascii="Times New Roman" w:hAnsi="Times New Roman"/>
          <w:szCs w:val="22"/>
        </w:rPr>
        <w:t>community</w:t>
      </w:r>
      <w:r w:rsidR="009A685A" w:rsidRPr="00393644">
        <w:rPr>
          <w:rFonts w:ascii="Times New Roman" w:hAnsi="Times New Roman"/>
          <w:szCs w:val="22"/>
        </w:rPr>
        <w:t xml:space="preserve"> colleges and </w:t>
      </w:r>
      <w:r w:rsidR="00C84F3C" w:rsidRPr="00393644">
        <w:rPr>
          <w:rFonts w:ascii="Times New Roman" w:hAnsi="Times New Roman"/>
          <w:szCs w:val="22"/>
        </w:rPr>
        <w:t xml:space="preserve">for </w:t>
      </w:r>
      <w:r w:rsidR="009A685A" w:rsidRPr="00393644">
        <w:rPr>
          <w:rFonts w:ascii="Times New Roman" w:hAnsi="Times New Roman"/>
          <w:szCs w:val="22"/>
        </w:rPr>
        <w:t>professional programs.</w:t>
      </w:r>
      <w:r w:rsidR="00BD3FE5" w:rsidRPr="00393644">
        <w:rPr>
          <w:rFonts w:ascii="Times New Roman" w:hAnsi="Times New Roman"/>
          <w:szCs w:val="22"/>
        </w:rPr>
        <w:t xml:space="preserve"> </w:t>
      </w:r>
      <w:r w:rsidR="00C93227" w:rsidRPr="00393644">
        <w:rPr>
          <w:rFonts w:ascii="Times New Roman" w:hAnsi="Times New Roman"/>
          <w:szCs w:val="22"/>
        </w:rPr>
        <w:t>Regents’ staff compiled a listing</w:t>
      </w:r>
      <w:r w:rsidR="009A685A" w:rsidRPr="00393644">
        <w:rPr>
          <w:rFonts w:ascii="Times New Roman" w:hAnsi="Times New Roman"/>
          <w:szCs w:val="22"/>
        </w:rPr>
        <w:t xml:space="preserve"> of tuition and </w:t>
      </w:r>
      <w:r w:rsidR="00736488" w:rsidRPr="00393644">
        <w:rPr>
          <w:rFonts w:ascii="Times New Roman" w:hAnsi="Times New Roman"/>
          <w:szCs w:val="22"/>
        </w:rPr>
        <w:t xml:space="preserve">mandatory </w:t>
      </w:r>
      <w:r w:rsidR="009A685A" w:rsidRPr="00393644">
        <w:rPr>
          <w:rFonts w:ascii="Times New Roman" w:hAnsi="Times New Roman"/>
          <w:szCs w:val="22"/>
        </w:rPr>
        <w:t xml:space="preserve">fees charged at public institutions in the Big Twelve Conference, </w:t>
      </w:r>
      <w:r w:rsidR="001015CE" w:rsidRPr="00393644">
        <w:rPr>
          <w:rFonts w:ascii="Times New Roman" w:hAnsi="Times New Roman"/>
          <w:szCs w:val="22"/>
        </w:rPr>
        <w:t xml:space="preserve">at </w:t>
      </w:r>
      <w:r w:rsidR="009A685A" w:rsidRPr="00393644">
        <w:rPr>
          <w:rFonts w:ascii="Times New Roman" w:hAnsi="Times New Roman"/>
          <w:szCs w:val="22"/>
        </w:rPr>
        <w:t xml:space="preserve">like-type public institutions in surrounding and other states, </w:t>
      </w:r>
      <w:r w:rsidR="001015CE" w:rsidRPr="00393644">
        <w:rPr>
          <w:rFonts w:ascii="Times New Roman" w:hAnsi="Times New Roman"/>
          <w:szCs w:val="22"/>
        </w:rPr>
        <w:t xml:space="preserve">at </w:t>
      </w:r>
      <w:r w:rsidR="009A685A" w:rsidRPr="00393644">
        <w:rPr>
          <w:rFonts w:ascii="Times New Roman" w:hAnsi="Times New Roman"/>
          <w:szCs w:val="22"/>
        </w:rPr>
        <w:t xml:space="preserve">public </w:t>
      </w:r>
      <w:r w:rsidR="00A96B55" w:rsidRPr="00393644">
        <w:rPr>
          <w:rFonts w:ascii="Times New Roman" w:hAnsi="Times New Roman"/>
          <w:szCs w:val="22"/>
        </w:rPr>
        <w:t>community</w:t>
      </w:r>
      <w:r w:rsidR="009A685A" w:rsidRPr="00393644">
        <w:rPr>
          <w:rFonts w:ascii="Times New Roman" w:hAnsi="Times New Roman"/>
          <w:szCs w:val="22"/>
        </w:rPr>
        <w:t xml:space="preserve"> colleges receiving no </w:t>
      </w:r>
      <w:r w:rsidR="009A685A" w:rsidRPr="00FB2ECD">
        <w:rPr>
          <w:rFonts w:ascii="Times New Roman" w:hAnsi="Times New Roman"/>
          <w:szCs w:val="22"/>
        </w:rPr>
        <w:t>local tax funding in surrounding and other states, and for professional programs</w:t>
      </w:r>
      <w:r w:rsidR="00C93227" w:rsidRPr="00FB2ECD">
        <w:rPr>
          <w:rFonts w:ascii="Times New Roman" w:hAnsi="Times New Roman"/>
          <w:szCs w:val="22"/>
        </w:rPr>
        <w:t xml:space="preserve">, as shown in </w:t>
      </w:r>
      <w:r w:rsidR="00C93227" w:rsidRPr="00370C19">
        <w:rPr>
          <w:rFonts w:ascii="Times New Roman" w:hAnsi="Times New Roman"/>
          <w:szCs w:val="22"/>
        </w:rPr>
        <w:t>t</w:t>
      </w:r>
      <w:r w:rsidR="00911B75" w:rsidRPr="00370C19">
        <w:rPr>
          <w:rFonts w:ascii="Times New Roman" w:hAnsi="Times New Roman"/>
          <w:szCs w:val="22"/>
        </w:rPr>
        <w:t xml:space="preserve">he </w:t>
      </w:r>
      <w:r w:rsidR="000569FD" w:rsidRPr="00370C19">
        <w:rPr>
          <w:rFonts w:ascii="Times New Roman" w:hAnsi="Times New Roman"/>
          <w:i/>
          <w:szCs w:val="22"/>
        </w:rPr>
        <w:t>FY</w:t>
      </w:r>
      <w:r w:rsidR="000E71B2" w:rsidRPr="00370C19">
        <w:rPr>
          <w:rFonts w:ascii="Times New Roman" w:hAnsi="Times New Roman"/>
          <w:i/>
          <w:szCs w:val="22"/>
        </w:rPr>
        <w:t>2</w:t>
      </w:r>
      <w:r w:rsidR="00E52E5A" w:rsidRPr="00370C19">
        <w:rPr>
          <w:rFonts w:ascii="Times New Roman" w:hAnsi="Times New Roman"/>
          <w:i/>
          <w:szCs w:val="22"/>
        </w:rPr>
        <w:t>4</w:t>
      </w:r>
      <w:r w:rsidR="001F5510" w:rsidRPr="00370C19">
        <w:rPr>
          <w:rFonts w:ascii="Times New Roman" w:hAnsi="Times New Roman"/>
          <w:i/>
          <w:szCs w:val="22"/>
        </w:rPr>
        <w:t xml:space="preserve"> </w:t>
      </w:r>
      <w:r w:rsidR="00911B75" w:rsidRPr="00370C19">
        <w:rPr>
          <w:rFonts w:ascii="Times New Roman" w:hAnsi="Times New Roman"/>
          <w:i/>
          <w:szCs w:val="22"/>
        </w:rPr>
        <w:t xml:space="preserve">Legislative </w:t>
      </w:r>
      <w:r w:rsidR="00D30ADB" w:rsidRPr="00370C19">
        <w:rPr>
          <w:rFonts w:ascii="Times New Roman" w:hAnsi="Times New Roman"/>
          <w:i/>
          <w:szCs w:val="22"/>
        </w:rPr>
        <w:t xml:space="preserve">Peer </w:t>
      </w:r>
      <w:r w:rsidR="009A685A" w:rsidRPr="00370C19">
        <w:rPr>
          <w:rFonts w:ascii="Times New Roman" w:hAnsi="Times New Roman"/>
          <w:i/>
          <w:szCs w:val="22"/>
        </w:rPr>
        <w:t>Limits for Tuition and Mandatory Fees</w:t>
      </w:r>
      <w:r w:rsidR="00AB1BC6" w:rsidRPr="00370C19">
        <w:rPr>
          <w:rFonts w:ascii="Times New Roman" w:hAnsi="Times New Roman"/>
          <w:szCs w:val="22"/>
        </w:rPr>
        <w:t xml:space="preserve"> schedule</w:t>
      </w:r>
      <w:r w:rsidR="00911B75" w:rsidRPr="00370C19">
        <w:rPr>
          <w:rFonts w:ascii="Times New Roman" w:hAnsi="Times New Roman"/>
          <w:szCs w:val="22"/>
        </w:rPr>
        <w:t xml:space="preserve"> attached</w:t>
      </w:r>
      <w:r w:rsidR="00000986" w:rsidRPr="00370C19">
        <w:rPr>
          <w:rFonts w:ascii="Times New Roman" w:hAnsi="Times New Roman"/>
          <w:szCs w:val="22"/>
        </w:rPr>
        <w:t>.</w:t>
      </w:r>
      <w:r w:rsidR="00BD3FE5" w:rsidRPr="00370C19">
        <w:rPr>
          <w:rFonts w:ascii="Times New Roman" w:hAnsi="Times New Roman"/>
          <w:szCs w:val="22"/>
        </w:rPr>
        <w:t xml:space="preserve"> </w:t>
      </w:r>
      <w:r w:rsidR="00604949" w:rsidRPr="00E63701">
        <w:rPr>
          <w:rFonts w:ascii="Times New Roman" w:hAnsi="Times New Roman"/>
          <w:szCs w:val="22"/>
        </w:rPr>
        <w:t>P</w:t>
      </w:r>
      <w:r w:rsidR="00000986" w:rsidRPr="00E63701">
        <w:rPr>
          <w:rFonts w:ascii="Times New Roman" w:hAnsi="Times New Roman"/>
          <w:szCs w:val="22"/>
        </w:rPr>
        <w:t>eer</w:t>
      </w:r>
      <w:r w:rsidR="00791BAF" w:rsidRPr="00E63701">
        <w:rPr>
          <w:rFonts w:ascii="Times New Roman" w:hAnsi="Times New Roman"/>
          <w:szCs w:val="22"/>
        </w:rPr>
        <w:t xml:space="preserve"> institutions</w:t>
      </w:r>
      <w:r w:rsidR="00FB2ECD" w:rsidRPr="00E63701">
        <w:rPr>
          <w:rFonts w:ascii="Times New Roman" w:hAnsi="Times New Roman"/>
          <w:szCs w:val="22"/>
        </w:rPr>
        <w:t xml:space="preserve"> outside the state</w:t>
      </w:r>
      <w:r w:rsidR="00791BAF" w:rsidRPr="00E63701">
        <w:rPr>
          <w:rFonts w:ascii="Times New Roman" w:hAnsi="Times New Roman"/>
          <w:szCs w:val="22"/>
        </w:rPr>
        <w:t xml:space="preserve"> also </w:t>
      </w:r>
      <w:r w:rsidR="00000986" w:rsidRPr="00E63701">
        <w:rPr>
          <w:rFonts w:ascii="Times New Roman" w:hAnsi="Times New Roman"/>
          <w:szCs w:val="22"/>
        </w:rPr>
        <w:t xml:space="preserve">increased their tuition and mandatory fees </w:t>
      </w:r>
      <w:r w:rsidR="00604949" w:rsidRPr="00E63701">
        <w:rPr>
          <w:rFonts w:ascii="Times New Roman" w:hAnsi="Times New Roman"/>
          <w:szCs w:val="22"/>
        </w:rPr>
        <w:t xml:space="preserve">in </w:t>
      </w:r>
      <w:r w:rsidR="000569FD" w:rsidRPr="00E63701">
        <w:rPr>
          <w:rFonts w:ascii="Times New Roman" w:hAnsi="Times New Roman"/>
          <w:szCs w:val="22"/>
        </w:rPr>
        <w:t>FY</w:t>
      </w:r>
      <w:r w:rsidR="00DA2BC1" w:rsidRPr="00E63701">
        <w:rPr>
          <w:rFonts w:ascii="Times New Roman" w:hAnsi="Times New Roman"/>
          <w:szCs w:val="22"/>
        </w:rPr>
        <w:t>2</w:t>
      </w:r>
      <w:r w:rsidR="00E63701" w:rsidRPr="00E63701">
        <w:rPr>
          <w:rFonts w:ascii="Times New Roman" w:hAnsi="Times New Roman"/>
          <w:szCs w:val="22"/>
        </w:rPr>
        <w:t>4</w:t>
      </w:r>
      <w:r w:rsidR="00393644" w:rsidRPr="00E63701">
        <w:rPr>
          <w:rFonts w:ascii="Times New Roman" w:hAnsi="Times New Roman"/>
          <w:szCs w:val="22"/>
        </w:rPr>
        <w:t>. This</w:t>
      </w:r>
      <w:r w:rsidR="00E63701" w:rsidRPr="00E63701">
        <w:rPr>
          <w:rFonts w:ascii="Times New Roman" w:hAnsi="Times New Roman"/>
          <w:szCs w:val="22"/>
        </w:rPr>
        <w:t xml:space="preserve"> </w:t>
      </w:r>
      <w:r w:rsidR="00393644" w:rsidRPr="00E63701">
        <w:rPr>
          <w:rFonts w:ascii="Times New Roman" w:hAnsi="Times New Roman"/>
          <w:szCs w:val="22"/>
        </w:rPr>
        <w:t xml:space="preserve">resulted in </w:t>
      </w:r>
      <w:r w:rsidR="00000986" w:rsidRPr="00E63701">
        <w:rPr>
          <w:rFonts w:ascii="Times New Roman" w:hAnsi="Times New Roman"/>
          <w:szCs w:val="22"/>
        </w:rPr>
        <w:t xml:space="preserve">Oklahoma’s </w:t>
      </w:r>
      <w:r w:rsidR="00CC6010" w:rsidRPr="00E63701">
        <w:rPr>
          <w:rFonts w:ascii="Times New Roman" w:hAnsi="Times New Roman"/>
          <w:szCs w:val="22"/>
        </w:rPr>
        <w:t xml:space="preserve">resident </w:t>
      </w:r>
      <w:r w:rsidR="00604949" w:rsidRPr="00E63701">
        <w:rPr>
          <w:rFonts w:ascii="Times New Roman" w:hAnsi="Times New Roman"/>
          <w:szCs w:val="22"/>
        </w:rPr>
        <w:t>rates, relative to those of</w:t>
      </w:r>
      <w:r w:rsidR="009A685A" w:rsidRPr="00E63701">
        <w:rPr>
          <w:rFonts w:ascii="Times New Roman" w:hAnsi="Times New Roman"/>
          <w:szCs w:val="22"/>
        </w:rPr>
        <w:t xml:space="preserve"> </w:t>
      </w:r>
      <w:r w:rsidR="00791BAF" w:rsidRPr="00E63701">
        <w:rPr>
          <w:rFonts w:ascii="Times New Roman" w:hAnsi="Times New Roman"/>
          <w:szCs w:val="22"/>
        </w:rPr>
        <w:t xml:space="preserve">their respective </w:t>
      </w:r>
      <w:r w:rsidR="00000986" w:rsidRPr="00E63701">
        <w:rPr>
          <w:rFonts w:ascii="Times New Roman" w:hAnsi="Times New Roman"/>
          <w:szCs w:val="22"/>
        </w:rPr>
        <w:t>peer</w:t>
      </w:r>
      <w:r w:rsidR="00791BAF" w:rsidRPr="00E63701">
        <w:rPr>
          <w:rFonts w:ascii="Times New Roman" w:hAnsi="Times New Roman"/>
          <w:szCs w:val="22"/>
        </w:rPr>
        <w:t>s</w:t>
      </w:r>
      <w:r w:rsidR="00A96B55" w:rsidRPr="00E63701">
        <w:rPr>
          <w:rFonts w:ascii="Times New Roman" w:hAnsi="Times New Roman"/>
          <w:szCs w:val="22"/>
        </w:rPr>
        <w:t>,</w:t>
      </w:r>
      <w:r w:rsidR="00000986" w:rsidRPr="00E63701">
        <w:rPr>
          <w:rFonts w:ascii="Times New Roman" w:hAnsi="Times New Roman"/>
          <w:szCs w:val="22"/>
        </w:rPr>
        <w:t xml:space="preserve"> </w:t>
      </w:r>
      <w:r w:rsidR="004654C1" w:rsidRPr="00E63701">
        <w:rPr>
          <w:rFonts w:ascii="Times New Roman" w:hAnsi="Times New Roman"/>
          <w:szCs w:val="22"/>
        </w:rPr>
        <w:t>in</w:t>
      </w:r>
      <w:r w:rsidR="00FB2ECD" w:rsidRPr="00E63701">
        <w:rPr>
          <w:rFonts w:ascii="Times New Roman" w:hAnsi="Times New Roman"/>
          <w:szCs w:val="22"/>
        </w:rPr>
        <w:t>creasing</w:t>
      </w:r>
      <w:r w:rsidR="00393644" w:rsidRPr="00E63701">
        <w:rPr>
          <w:rFonts w:ascii="Times New Roman" w:hAnsi="Times New Roman"/>
          <w:szCs w:val="22"/>
        </w:rPr>
        <w:t xml:space="preserve"> for research, </w:t>
      </w:r>
      <w:r w:rsidR="000E71B2" w:rsidRPr="00E63701">
        <w:rPr>
          <w:rFonts w:ascii="Times New Roman" w:hAnsi="Times New Roman"/>
          <w:szCs w:val="22"/>
        </w:rPr>
        <w:t>regional</w:t>
      </w:r>
      <w:r w:rsidR="00DA2BC1" w:rsidRPr="00E63701">
        <w:rPr>
          <w:rFonts w:ascii="Times New Roman" w:hAnsi="Times New Roman"/>
          <w:szCs w:val="22"/>
        </w:rPr>
        <w:t>,</w:t>
      </w:r>
      <w:r w:rsidR="00E91224" w:rsidRPr="00E63701">
        <w:rPr>
          <w:rFonts w:ascii="Times New Roman" w:hAnsi="Times New Roman"/>
          <w:szCs w:val="22"/>
        </w:rPr>
        <w:t xml:space="preserve"> and community</w:t>
      </w:r>
      <w:r w:rsidR="00393644" w:rsidRPr="00E63701">
        <w:rPr>
          <w:rFonts w:ascii="Times New Roman" w:hAnsi="Times New Roman"/>
          <w:szCs w:val="22"/>
        </w:rPr>
        <w:t xml:space="preserve"> colleges</w:t>
      </w:r>
      <w:r w:rsidR="00000986" w:rsidRPr="00E63701">
        <w:rPr>
          <w:rFonts w:ascii="Times New Roman" w:hAnsi="Times New Roman"/>
          <w:szCs w:val="22"/>
        </w:rPr>
        <w:t>.</w:t>
      </w:r>
      <w:r w:rsidR="00BD3FE5" w:rsidRPr="00E63701">
        <w:rPr>
          <w:rFonts w:ascii="Times New Roman" w:hAnsi="Times New Roman"/>
          <w:szCs w:val="22"/>
        </w:rPr>
        <w:t xml:space="preserve"> </w:t>
      </w:r>
      <w:r w:rsidR="00604949" w:rsidRPr="00370C19">
        <w:rPr>
          <w:rFonts w:ascii="Times New Roman" w:hAnsi="Times New Roman"/>
          <w:szCs w:val="22"/>
        </w:rPr>
        <w:t>Research</w:t>
      </w:r>
      <w:r w:rsidR="00000986" w:rsidRPr="00370C19">
        <w:rPr>
          <w:rFonts w:ascii="Times New Roman" w:hAnsi="Times New Roman"/>
          <w:szCs w:val="22"/>
        </w:rPr>
        <w:t xml:space="preserve"> universities</w:t>
      </w:r>
      <w:r w:rsidR="00604949" w:rsidRPr="00370C19">
        <w:rPr>
          <w:rFonts w:ascii="Times New Roman" w:hAnsi="Times New Roman"/>
          <w:szCs w:val="22"/>
        </w:rPr>
        <w:t xml:space="preserve">’ current </w:t>
      </w:r>
      <w:r w:rsidR="00EC6C69" w:rsidRPr="00370C19">
        <w:rPr>
          <w:rFonts w:ascii="Times New Roman" w:hAnsi="Times New Roman"/>
          <w:szCs w:val="22"/>
        </w:rPr>
        <w:t xml:space="preserve">average </w:t>
      </w:r>
      <w:r w:rsidR="00791BAF" w:rsidRPr="00370C19">
        <w:rPr>
          <w:rFonts w:ascii="Times New Roman" w:hAnsi="Times New Roman"/>
          <w:szCs w:val="22"/>
        </w:rPr>
        <w:t xml:space="preserve">tuition and mandatory fee </w:t>
      </w:r>
      <w:r w:rsidR="00604949" w:rsidRPr="00370C19">
        <w:rPr>
          <w:rFonts w:ascii="Times New Roman" w:hAnsi="Times New Roman"/>
          <w:szCs w:val="22"/>
        </w:rPr>
        <w:t xml:space="preserve">rates are </w:t>
      </w:r>
      <w:r w:rsidR="00DA2BC1" w:rsidRPr="00370C19">
        <w:rPr>
          <w:rFonts w:ascii="Times New Roman" w:hAnsi="Times New Roman"/>
          <w:szCs w:val="22"/>
        </w:rPr>
        <w:t>7</w:t>
      </w:r>
      <w:r w:rsidR="00102DC0" w:rsidRPr="00370C19">
        <w:rPr>
          <w:rFonts w:ascii="Times New Roman" w:hAnsi="Times New Roman"/>
          <w:szCs w:val="22"/>
        </w:rPr>
        <w:t>0.</w:t>
      </w:r>
      <w:r w:rsidR="00370C19" w:rsidRPr="00370C19">
        <w:rPr>
          <w:rFonts w:ascii="Times New Roman" w:hAnsi="Times New Roman"/>
          <w:szCs w:val="22"/>
        </w:rPr>
        <w:t>8</w:t>
      </w:r>
      <w:r w:rsidR="00604949" w:rsidRPr="00370C19">
        <w:rPr>
          <w:rFonts w:ascii="Times New Roman" w:hAnsi="Times New Roman"/>
          <w:szCs w:val="22"/>
        </w:rPr>
        <w:t xml:space="preserve"> percent of the Big 12 Conference average, </w:t>
      </w:r>
      <w:r w:rsidR="00A30287" w:rsidRPr="00370C19">
        <w:rPr>
          <w:rFonts w:ascii="Times New Roman" w:hAnsi="Times New Roman"/>
          <w:szCs w:val="22"/>
        </w:rPr>
        <w:t>a</w:t>
      </w:r>
      <w:r w:rsidR="00CC6010" w:rsidRPr="00370C19">
        <w:rPr>
          <w:rFonts w:ascii="Times New Roman" w:hAnsi="Times New Roman"/>
          <w:szCs w:val="22"/>
        </w:rPr>
        <w:t>n</w:t>
      </w:r>
      <w:r w:rsidR="00A30287" w:rsidRPr="00370C19">
        <w:rPr>
          <w:rFonts w:ascii="Times New Roman" w:hAnsi="Times New Roman"/>
          <w:szCs w:val="22"/>
        </w:rPr>
        <w:t xml:space="preserve"> </w:t>
      </w:r>
      <w:r w:rsidR="00CC6010" w:rsidRPr="00370C19">
        <w:rPr>
          <w:rFonts w:ascii="Times New Roman" w:hAnsi="Times New Roman"/>
          <w:szCs w:val="22"/>
        </w:rPr>
        <w:t>in</w:t>
      </w:r>
      <w:r w:rsidR="00A30287" w:rsidRPr="00370C19">
        <w:rPr>
          <w:rFonts w:ascii="Times New Roman" w:hAnsi="Times New Roman"/>
          <w:szCs w:val="22"/>
        </w:rPr>
        <w:t>crease</w:t>
      </w:r>
      <w:r w:rsidR="00000986" w:rsidRPr="00370C19">
        <w:rPr>
          <w:rFonts w:ascii="Times New Roman" w:hAnsi="Times New Roman"/>
          <w:szCs w:val="22"/>
        </w:rPr>
        <w:t xml:space="preserve"> </w:t>
      </w:r>
      <w:r w:rsidR="00A41610" w:rsidRPr="00370C19">
        <w:rPr>
          <w:rFonts w:ascii="Times New Roman" w:hAnsi="Times New Roman"/>
          <w:szCs w:val="22"/>
        </w:rPr>
        <w:t xml:space="preserve">of </w:t>
      </w:r>
      <w:r w:rsidR="00370C19" w:rsidRPr="00370C19">
        <w:rPr>
          <w:rFonts w:ascii="Times New Roman" w:hAnsi="Times New Roman"/>
          <w:szCs w:val="22"/>
        </w:rPr>
        <w:t>0.1</w:t>
      </w:r>
      <w:r w:rsidR="00604949" w:rsidRPr="00370C19">
        <w:rPr>
          <w:rFonts w:ascii="Times New Roman" w:hAnsi="Times New Roman"/>
          <w:szCs w:val="22"/>
        </w:rPr>
        <w:t xml:space="preserve"> percentage points</w:t>
      </w:r>
      <w:r w:rsidR="00524D37" w:rsidRPr="00370C19">
        <w:rPr>
          <w:rFonts w:ascii="Times New Roman" w:hAnsi="Times New Roman"/>
          <w:szCs w:val="22"/>
        </w:rPr>
        <w:t xml:space="preserve"> from last year</w:t>
      </w:r>
      <w:r w:rsidR="00000986" w:rsidRPr="00370C19">
        <w:rPr>
          <w:rFonts w:ascii="Times New Roman" w:hAnsi="Times New Roman"/>
          <w:szCs w:val="22"/>
        </w:rPr>
        <w:t xml:space="preserve">; </w:t>
      </w:r>
      <w:r w:rsidR="00EC6C69" w:rsidRPr="00370C19">
        <w:rPr>
          <w:rFonts w:ascii="Times New Roman" w:hAnsi="Times New Roman"/>
          <w:szCs w:val="22"/>
        </w:rPr>
        <w:t xml:space="preserve">the average for </w:t>
      </w:r>
      <w:r w:rsidR="00000986" w:rsidRPr="00370C19">
        <w:rPr>
          <w:rFonts w:ascii="Times New Roman" w:hAnsi="Times New Roman"/>
          <w:szCs w:val="22"/>
        </w:rPr>
        <w:t xml:space="preserve">regional </w:t>
      </w:r>
      <w:r w:rsidR="00B20BDC" w:rsidRPr="00370C19">
        <w:rPr>
          <w:rFonts w:ascii="Times New Roman" w:hAnsi="Times New Roman"/>
          <w:szCs w:val="22"/>
        </w:rPr>
        <w:t>universities</w:t>
      </w:r>
      <w:r w:rsidR="00524D37" w:rsidRPr="00370C19">
        <w:rPr>
          <w:rFonts w:ascii="Times New Roman" w:hAnsi="Times New Roman"/>
          <w:szCs w:val="22"/>
        </w:rPr>
        <w:t>’</w:t>
      </w:r>
      <w:r w:rsidR="00CC6010" w:rsidRPr="00370C19">
        <w:rPr>
          <w:rFonts w:ascii="Times New Roman" w:hAnsi="Times New Roman"/>
          <w:szCs w:val="22"/>
        </w:rPr>
        <w:t xml:space="preserve"> resident</w:t>
      </w:r>
      <w:r w:rsidR="00524D37" w:rsidRPr="00370C19">
        <w:rPr>
          <w:rFonts w:ascii="Times New Roman" w:hAnsi="Times New Roman"/>
          <w:szCs w:val="22"/>
        </w:rPr>
        <w:t xml:space="preserve"> tuition and mandatory fees</w:t>
      </w:r>
      <w:r w:rsidR="00000986" w:rsidRPr="00370C19">
        <w:rPr>
          <w:rFonts w:ascii="Times New Roman" w:hAnsi="Times New Roman"/>
          <w:szCs w:val="22"/>
        </w:rPr>
        <w:t xml:space="preserve"> </w:t>
      </w:r>
      <w:r w:rsidR="008C3020" w:rsidRPr="00370C19">
        <w:rPr>
          <w:rFonts w:ascii="Times New Roman" w:hAnsi="Times New Roman"/>
          <w:szCs w:val="22"/>
        </w:rPr>
        <w:t>increased</w:t>
      </w:r>
      <w:r w:rsidR="00CF6595" w:rsidRPr="00370C19">
        <w:rPr>
          <w:rFonts w:ascii="Times New Roman" w:hAnsi="Times New Roman"/>
          <w:szCs w:val="22"/>
        </w:rPr>
        <w:t xml:space="preserve"> </w:t>
      </w:r>
      <w:r w:rsidR="00370C19" w:rsidRPr="00370C19">
        <w:rPr>
          <w:rFonts w:ascii="Times New Roman" w:hAnsi="Times New Roman"/>
          <w:szCs w:val="22"/>
        </w:rPr>
        <w:t>1.2</w:t>
      </w:r>
      <w:r w:rsidR="00F00675" w:rsidRPr="00370C19">
        <w:rPr>
          <w:rFonts w:ascii="Times New Roman" w:hAnsi="Times New Roman"/>
          <w:szCs w:val="22"/>
        </w:rPr>
        <w:t xml:space="preserve"> percentage </w:t>
      </w:r>
      <w:r w:rsidR="00CF6595" w:rsidRPr="00370C19">
        <w:rPr>
          <w:rFonts w:ascii="Times New Roman" w:hAnsi="Times New Roman"/>
          <w:szCs w:val="22"/>
        </w:rPr>
        <w:t xml:space="preserve">points </w:t>
      </w:r>
      <w:r w:rsidR="00F00675" w:rsidRPr="00370C19">
        <w:rPr>
          <w:rFonts w:ascii="Times New Roman" w:hAnsi="Times New Roman"/>
          <w:szCs w:val="22"/>
        </w:rPr>
        <w:t xml:space="preserve">to </w:t>
      </w:r>
      <w:r w:rsidR="00CC6010" w:rsidRPr="00370C19">
        <w:rPr>
          <w:rFonts w:ascii="Times New Roman" w:hAnsi="Times New Roman"/>
          <w:szCs w:val="22"/>
        </w:rPr>
        <w:t>8</w:t>
      </w:r>
      <w:r w:rsidR="00370C19" w:rsidRPr="00370C19">
        <w:rPr>
          <w:rFonts w:ascii="Times New Roman" w:hAnsi="Times New Roman"/>
          <w:szCs w:val="22"/>
        </w:rPr>
        <w:t>5.2</w:t>
      </w:r>
      <w:r w:rsidR="00FA1FC9" w:rsidRPr="00370C19">
        <w:rPr>
          <w:rFonts w:ascii="Times New Roman" w:hAnsi="Times New Roman"/>
          <w:szCs w:val="22"/>
        </w:rPr>
        <w:t xml:space="preserve"> </w:t>
      </w:r>
      <w:r w:rsidR="00000986" w:rsidRPr="00370C19">
        <w:rPr>
          <w:rFonts w:ascii="Times New Roman" w:hAnsi="Times New Roman"/>
          <w:szCs w:val="22"/>
        </w:rPr>
        <w:t>percent</w:t>
      </w:r>
      <w:r w:rsidR="00B20BDC" w:rsidRPr="00370C19">
        <w:rPr>
          <w:rFonts w:ascii="Times New Roman" w:hAnsi="Times New Roman"/>
          <w:szCs w:val="22"/>
        </w:rPr>
        <w:t xml:space="preserve"> of the peer average</w:t>
      </w:r>
      <w:r w:rsidR="00000986" w:rsidRPr="00370C19">
        <w:rPr>
          <w:rFonts w:ascii="Times New Roman" w:hAnsi="Times New Roman"/>
          <w:szCs w:val="22"/>
        </w:rPr>
        <w:t xml:space="preserve">; and </w:t>
      </w:r>
      <w:r w:rsidR="00EC6C69" w:rsidRPr="00370C19">
        <w:rPr>
          <w:rFonts w:ascii="Times New Roman" w:hAnsi="Times New Roman"/>
          <w:szCs w:val="22"/>
        </w:rPr>
        <w:t xml:space="preserve">the average for </w:t>
      </w:r>
      <w:r w:rsidR="00A41610" w:rsidRPr="00370C19">
        <w:rPr>
          <w:rFonts w:ascii="Times New Roman" w:hAnsi="Times New Roman"/>
          <w:szCs w:val="22"/>
        </w:rPr>
        <w:t>community colleges</w:t>
      </w:r>
      <w:r w:rsidR="005C5FCB" w:rsidRPr="00370C19">
        <w:rPr>
          <w:rFonts w:ascii="Times New Roman" w:hAnsi="Times New Roman"/>
          <w:szCs w:val="22"/>
        </w:rPr>
        <w:t xml:space="preserve"> </w:t>
      </w:r>
      <w:r w:rsidR="00370C19" w:rsidRPr="00370C19">
        <w:rPr>
          <w:rFonts w:ascii="Times New Roman" w:hAnsi="Times New Roman"/>
          <w:szCs w:val="22"/>
        </w:rPr>
        <w:t>decreased</w:t>
      </w:r>
      <w:r w:rsidR="00E91224" w:rsidRPr="00370C19">
        <w:rPr>
          <w:rFonts w:ascii="Times New Roman" w:hAnsi="Times New Roman"/>
          <w:szCs w:val="22"/>
        </w:rPr>
        <w:t xml:space="preserve"> </w:t>
      </w:r>
      <w:r w:rsidR="00370C19" w:rsidRPr="00370C19">
        <w:rPr>
          <w:rFonts w:ascii="Times New Roman" w:hAnsi="Times New Roman"/>
          <w:szCs w:val="22"/>
        </w:rPr>
        <w:t xml:space="preserve">3.9 </w:t>
      </w:r>
      <w:r w:rsidR="00CF6595" w:rsidRPr="00370C19">
        <w:rPr>
          <w:rFonts w:ascii="Times New Roman" w:hAnsi="Times New Roman"/>
          <w:szCs w:val="22"/>
        </w:rPr>
        <w:t>percentage point</w:t>
      </w:r>
      <w:r w:rsidR="003F51A2" w:rsidRPr="00370C19">
        <w:rPr>
          <w:rFonts w:ascii="Times New Roman" w:hAnsi="Times New Roman"/>
          <w:szCs w:val="22"/>
        </w:rPr>
        <w:t>s</w:t>
      </w:r>
      <w:r w:rsidR="00CF6595" w:rsidRPr="00370C19">
        <w:rPr>
          <w:rFonts w:ascii="Times New Roman" w:hAnsi="Times New Roman"/>
          <w:szCs w:val="22"/>
        </w:rPr>
        <w:t xml:space="preserve"> </w:t>
      </w:r>
      <w:r w:rsidR="00F00675" w:rsidRPr="00370C19">
        <w:rPr>
          <w:rFonts w:ascii="Times New Roman" w:hAnsi="Times New Roman"/>
          <w:szCs w:val="22"/>
        </w:rPr>
        <w:t xml:space="preserve">to </w:t>
      </w:r>
      <w:r w:rsidR="003C427E" w:rsidRPr="00370C19">
        <w:rPr>
          <w:rFonts w:ascii="Times New Roman" w:hAnsi="Times New Roman"/>
          <w:szCs w:val="22"/>
        </w:rPr>
        <w:t>6</w:t>
      </w:r>
      <w:r w:rsidR="00370C19" w:rsidRPr="00370C19">
        <w:rPr>
          <w:rFonts w:ascii="Times New Roman" w:hAnsi="Times New Roman"/>
          <w:szCs w:val="22"/>
        </w:rPr>
        <w:t>4.0</w:t>
      </w:r>
      <w:r w:rsidR="00000986" w:rsidRPr="00370C19">
        <w:rPr>
          <w:rFonts w:ascii="Times New Roman" w:hAnsi="Times New Roman"/>
          <w:szCs w:val="22"/>
        </w:rPr>
        <w:t xml:space="preserve"> percent of their peer average for resident undergraduate tuition and mandatory fees.</w:t>
      </w:r>
      <w:r w:rsidR="00BD3FE5" w:rsidRPr="00370C19">
        <w:rPr>
          <w:rFonts w:ascii="Times New Roman" w:hAnsi="Times New Roman"/>
          <w:szCs w:val="22"/>
        </w:rPr>
        <w:t xml:space="preserve"> </w:t>
      </w:r>
      <w:r w:rsidR="009A685A" w:rsidRPr="00370C19">
        <w:rPr>
          <w:rFonts w:ascii="Times New Roman" w:hAnsi="Times New Roman"/>
          <w:szCs w:val="22"/>
        </w:rPr>
        <w:t xml:space="preserve">The State Regents annually monitor and publish the </w:t>
      </w:r>
      <w:r w:rsidR="00672C00" w:rsidRPr="00370C19">
        <w:rPr>
          <w:rFonts w:ascii="Times New Roman" w:hAnsi="Times New Roman"/>
          <w:szCs w:val="22"/>
        </w:rPr>
        <w:t>t</w:t>
      </w:r>
      <w:r w:rsidR="009A685A" w:rsidRPr="00370C19">
        <w:rPr>
          <w:rFonts w:ascii="Times New Roman" w:hAnsi="Times New Roman"/>
          <w:szCs w:val="22"/>
        </w:rPr>
        <w:t xml:space="preserve">uition and </w:t>
      </w:r>
      <w:r w:rsidR="00672C00" w:rsidRPr="00370C19">
        <w:rPr>
          <w:rFonts w:ascii="Times New Roman" w:hAnsi="Times New Roman"/>
          <w:szCs w:val="22"/>
        </w:rPr>
        <w:t>m</w:t>
      </w:r>
      <w:r w:rsidR="009A685A" w:rsidRPr="00370C19">
        <w:rPr>
          <w:rFonts w:ascii="Times New Roman" w:hAnsi="Times New Roman"/>
          <w:szCs w:val="22"/>
        </w:rPr>
        <w:t xml:space="preserve">andatory </w:t>
      </w:r>
      <w:r w:rsidR="00672C00" w:rsidRPr="00370C19">
        <w:rPr>
          <w:rFonts w:ascii="Times New Roman" w:hAnsi="Times New Roman"/>
          <w:szCs w:val="22"/>
        </w:rPr>
        <w:t>f</w:t>
      </w:r>
      <w:r w:rsidR="009A685A" w:rsidRPr="00370C19">
        <w:rPr>
          <w:rFonts w:ascii="Times New Roman" w:hAnsi="Times New Roman"/>
          <w:szCs w:val="22"/>
        </w:rPr>
        <w:t>ees at peer institutions, at each institution in</w:t>
      </w:r>
      <w:r w:rsidR="009A685A" w:rsidRPr="00E63701">
        <w:rPr>
          <w:rFonts w:ascii="Times New Roman" w:hAnsi="Times New Roman"/>
          <w:szCs w:val="22"/>
        </w:rPr>
        <w:t xml:space="preserve"> Oklahoma, and the maximum possible increase for the next academic year.</w:t>
      </w:r>
      <w:r w:rsidR="00BD3FE5" w:rsidRPr="00393644">
        <w:rPr>
          <w:rFonts w:ascii="Times New Roman" w:hAnsi="Times New Roman"/>
          <w:szCs w:val="22"/>
        </w:rPr>
        <w:t xml:space="preserve"> </w:t>
      </w:r>
    </w:p>
    <w:p w:rsidR="001B50FF" w:rsidRDefault="001B50FF" w:rsidP="009A685A">
      <w:pPr>
        <w:rPr>
          <w:rFonts w:ascii="Times New Roman" w:hAnsi="Times New Roman"/>
        </w:rPr>
      </w:pPr>
    </w:p>
    <w:p w:rsidR="004C3159" w:rsidRPr="00E111C9" w:rsidRDefault="00B20BDC" w:rsidP="00140A5E">
      <w:pPr>
        <w:rPr>
          <w:rFonts w:ascii="Times New Roman" w:hAnsi="Times New Roman"/>
          <w:b/>
        </w:rPr>
      </w:pPr>
      <w:r w:rsidRPr="00E111C9">
        <w:rPr>
          <w:rFonts w:ascii="Times New Roman" w:hAnsi="Times New Roman"/>
          <w:b/>
        </w:rPr>
        <w:t xml:space="preserve">2) </w:t>
      </w:r>
      <w:r w:rsidR="00F13F4C" w:rsidRPr="00E111C9">
        <w:rPr>
          <w:rFonts w:ascii="Times New Roman" w:hAnsi="Times New Roman"/>
          <w:b/>
        </w:rPr>
        <w:t>Academic Services Fees</w:t>
      </w:r>
    </w:p>
    <w:p w:rsidR="00511E1B" w:rsidRPr="00E111C9" w:rsidRDefault="00511E1B" w:rsidP="00140A5E">
      <w:pPr>
        <w:rPr>
          <w:rFonts w:ascii="Times New Roman" w:hAnsi="Times New Roman"/>
        </w:rPr>
      </w:pPr>
    </w:p>
    <w:p w:rsidR="00511E1B" w:rsidRPr="00E111C9" w:rsidRDefault="00A73C15" w:rsidP="00140A5E">
      <w:pPr>
        <w:rPr>
          <w:rFonts w:ascii="Times New Roman" w:hAnsi="Times New Roman"/>
        </w:rPr>
      </w:pPr>
      <w:r w:rsidRPr="00CD46F6">
        <w:rPr>
          <w:rFonts w:ascii="Times New Roman" w:hAnsi="Times New Roman"/>
        </w:rPr>
        <w:t>Of the twenty-five public institutions</w:t>
      </w:r>
      <w:r w:rsidR="00591238" w:rsidRPr="00CD46F6">
        <w:rPr>
          <w:rFonts w:ascii="Times New Roman" w:hAnsi="Times New Roman"/>
        </w:rPr>
        <w:t xml:space="preserve"> </w:t>
      </w:r>
      <w:r w:rsidRPr="00CD46F6">
        <w:rPr>
          <w:rFonts w:ascii="Times New Roman" w:hAnsi="Times New Roman"/>
        </w:rPr>
        <w:t xml:space="preserve">in The State System, </w:t>
      </w:r>
      <w:r w:rsidR="00BE1AD0">
        <w:rPr>
          <w:rFonts w:ascii="Times New Roman" w:hAnsi="Times New Roman"/>
        </w:rPr>
        <w:t>seventeen</w:t>
      </w:r>
      <w:r w:rsidR="00A33994" w:rsidRPr="00CD46F6">
        <w:rPr>
          <w:rFonts w:ascii="Times New Roman" w:hAnsi="Times New Roman"/>
        </w:rPr>
        <w:t xml:space="preserve"> </w:t>
      </w:r>
      <w:r w:rsidRPr="00CD46F6">
        <w:rPr>
          <w:rFonts w:ascii="Times New Roman" w:hAnsi="Times New Roman"/>
        </w:rPr>
        <w:t>re</w:t>
      </w:r>
      <w:r w:rsidR="00672C00" w:rsidRPr="00CD46F6">
        <w:rPr>
          <w:rFonts w:ascii="Times New Roman" w:hAnsi="Times New Roman"/>
        </w:rPr>
        <w:t xml:space="preserve">quested changes in academic </w:t>
      </w:r>
      <w:r w:rsidR="00672C00" w:rsidRPr="00C25C3E">
        <w:rPr>
          <w:rFonts w:ascii="Times New Roman" w:hAnsi="Times New Roman"/>
        </w:rPr>
        <w:t>services f</w:t>
      </w:r>
      <w:r w:rsidRPr="00C25C3E">
        <w:rPr>
          <w:rFonts w:ascii="Times New Roman" w:hAnsi="Times New Roman"/>
        </w:rPr>
        <w:t xml:space="preserve">ees for </w:t>
      </w:r>
      <w:r w:rsidR="00570FCF" w:rsidRPr="00C25C3E">
        <w:rPr>
          <w:rFonts w:ascii="Times New Roman" w:hAnsi="Times New Roman"/>
        </w:rPr>
        <w:t>Fiscal Year 20</w:t>
      </w:r>
      <w:r w:rsidR="00757057" w:rsidRPr="00C25C3E">
        <w:rPr>
          <w:rFonts w:ascii="Times New Roman" w:hAnsi="Times New Roman"/>
        </w:rPr>
        <w:t>2</w:t>
      </w:r>
      <w:r w:rsidR="00BE1AD0">
        <w:rPr>
          <w:rFonts w:ascii="Times New Roman" w:hAnsi="Times New Roman"/>
        </w:rPr>
        <w:t>5</w:t>
      </w:r>
      <w:r w:rsidR="00F67BA3">
        <w:rPr>
          <w:rFonts w:ascii="Times New Roman" w:hAnsi="Times New Roman"/>
        </w:rPr>
        <w:t xml:space="preserve"> </w:t>
      </w:r>
      <w:r w:rsidR="00A41610" w:rsidRPr="00D01603">
        <w:rPr>
          <w:rFonts w:ascii="Times New Roman" w:hAnsi="Times New Roman"/>
        </w:rPr>
        <w:t>and</w:t>
      </w:r>
      <w:r w:rsidR="00A33994" w:rsidRPr="00D01603">
        <w:rPr>
          <w:rFonts w:ascii="Times New Roman" w:hAnsi="Times New Roman"/>
        </w:rPr>
        <w:t xml:space="preserve"> </w:t>
      </w:r>
      <w:r w:rsidR="00BE1AD0">
        <w:rPr>
          <w:rFonts w:ascii="Times New Roman" w:hAnsi="Times New Roman"/>
        </w:rPr>
        <w:t>eight</w:t>
      </w:r>
      <w:r w:rsidR="00B32254" w:rsidRPr="00D01603">
        <w:rPr>
          <w:rFonts w:ascii="Times New Roman" w:hAnsi="Times New Roman"/>
        </w:rPr>
        <w:t xml:space="preserve"> </w:t>
      </w:r>
      <w:r w:rsidRPr="00D01603">
        <w:rPr>
          <w:rFonts w:ascii="Times New Roman" w:hAnsi="Times New Roman"/>
        </w:rPr>
        <w:t>had</w:t>
      </w:r>
      <w:r w:rsidRPr="00C25C3E">
        <w:rPr>
          <w:rFonts w:ascii="Times New Roman" w:hAnsi="Times New Roman"/>
        </w:rPr>
        <w:t xml:space="preserve"> no requests for changes in these fees.</w:t>
      </w:r>
      <w:r w:rsidR="00BD3FE5" w:rsidRPr="00C25C3E">
        <w:rPr>
          <w:rFonts w:ascii="Times New Roman" w:hAnsi="Times New Roman"/>
        </w:rPr>
        <w:t xml:space="preserve"> </w:t>
      </w:r>
      <w:r w:rsidR="00B32254" w:rsidRPr="00A56506">
        <w:rPr>
          <w:rFonts w:ascii="Times New Roman" w:hAnsi="Times New Roman"/>
        </w:rPr>
        <w:t>The</w:t>
      </w:r>
      <w:r w:rsidR="00730ED3" w:rsidRPr="00A56506">
        <w:rPr>
          <w:rFonts w:ascii="Times New Roman" w:hAnsi="Times New Roman"/>
        </w:rPr>
        <w:t xml:space="preserve"> </w:t>
      </w:r>
      <w:r w:rsidRPr="00A56506">
        <w:rPr>
          <w:rFonts w:ascii="Times New Roman" w:hAnsi="Times New Roman"/>
        </w:rPr>
        <w:t>institution</w:t>
      </w:r>
      <w:r w:rsidR="001D7D33" w:rsidRPr="00A56506">
        <w:rPr>
          <w:rFonts w:ascii="Times New Roman" w:hAnsi="Times New Roman"/>
        </w:rPr>
        <w:t>s</w:t>
      </w:r>
      <w:r w:rsidR="004F65B9" w:rsidRPr="00A56506">
        <w:rPr>
          <w:rFonts w:ascii="Times New Roman" w:hAnsi="Times New Roman"/>
        </w:rPr>
        <w:t xml:space="preserve"> </w:t>
      </w:r>
      <w:r w:rsidRPr="00A56506">
        <w:rPr>
          <w:rFonts w:ascii="Times New Roman" w:hAnsi="Times New Roman"/>
        </w:rPr>
        <w:t xml:space="preserve">requested </w:t>
      </w:r>
      <w:r w:rsidR="00A56506" w:rsidRPr="00A56506">
        <w:rPr>
          <w:rFonts w:ascii="Times New Roman" w:hAnsi="Times New Roman"/>
        </w:rPr>
        <w:t>93</w:t>
      </w:r>
      <w:r w:rsidR="00FC292D" w:rsidRPr="00A56506">
        <w:rPr>
          <w:rFonts w:ascii="Times New Roman" w:hAnsi="Times New Roman"/>
        </w:rPr>
        <w:t xml:space="preserve"> </w:t>
      </w:r>
      <w:r w:rsidRPr="00A56506">
        <w:rPr>
          <w:rFonts w:ascii="Times New Roman" w:hAnsi="Times New Roman"/>
        </w:rPr>
        <w:t>change</w:t>
      </w:r>
      <w:r w:rsidR="00EF4699" w:rsidRPr="00A56506">
        <w:rPr>
          <w:rFonts w:ascii="Times New Roman" w:hAnsi="Times New Roman"/>
        </w:rPr>
        <w:t>s</w:t>
      </w:r>
      <w:r w:rsidRPr="00A56506">
        <w:rPr>
          <w:rFonts w:ascii="Times New Roman" w:hAnsi="Times New Roman"/>
        </w:rPr>
        <w:t xml:space="preserve"> </w:t>
      </w:r>
      <w:r w:rsidR="006418CA" w:rsidRPr="00A56506">
        <w:rPr>
          <w:rFonts w:ascii="Times New Roman" w:hAnsi="Times New Roman"/>
        </w:rPr>
        <w:t>in</w:t>
      </w:r>
      <w:r w:rsidR="001D7D33" w:rsidRPr="00A56506">
        <w:rPr>
          <w:rFonts w:ascii="Times New Roman" w:hAnsi="Times New Roman"/>
        </w:rPr>
        <w:t xml:space="preserve"> Special Instruction Fe</w:t>
      </w:r>
      <w:r w:rsidRPr="00A56506">
        <w:rPr>
          <w:rFonts w:ascii="Times New Roman" w:hAnsi="Times New Roman"/>
        </w:rPr>
        <w:t>es</w:t>
      </w:r>
      <w:r w:rsidR="00B32254" w:rsidRPr="00A56506">
        <w:rPr>
          <w:rFonts w:ascii="Times New Roman" w:hAnsi="Times New Roman"/>
        </w:rPr>
        <w:t>,</w:t>
      </w:r>
      <w:r w:rsidRPr="00A56506">
        <w:rPr>
          <w:rFonts w:ascii="Times New Roman" w:hAnsi="Times New Roman"/>
        </w:rPr>
        <w:t xml:space="preserve"> </w:t>
      </w:r>
      <w:r w:rsidR="00FC292D" w:rsidRPr="00A56506">
        <w:rPr>
          <w:rFonts w:ascii="Times New Roman" w:hAnsi="Times New Roman"/>
        </w:rPr>
        <w:t>1</w:t>
      </w:r>
      <w:r w:rsidR="00A56506" w:rsidRPr="00A56506">
        <w:rPr>
          <w:rFonts w:ascii="Times New Roman" w:hAnsi="Times New Roman"/>
        </w:rPr>
        <w:t>0</w:t>
      </w:r>
      <w:r w:rsidR="00EF4699" w:rsidRPr="00A56506">
        <w:rPr>
          <w:rFonts w:ascii="Times New Roman" w:hAnsi="Times New Roman"/>
        </w:rPr>
        <w:t xml:space="preserve"> </w:t>
      </w:r>
      <w:r w:rsidR="00DF0A79" w:rsidRPr="00A56506">
        <w:rPr>
          <w:rFonts w:ascii="Times New Roman" w:hAnsi="Times New Roman"/>
        </w:rPr>
        <w:t xml:space="preserve">changes </w:t>
      </w:r>
      <w:r w:rsidR="00D30ADB" w:rsidRPr="00A56506">
        <w:rPr>
          <w:rFonts w:ascii="Times New Roman" w:hAnsi="Times New Roman"/>
        </w:rPr>
        <w:t>in</w:t>
      </w:r>
      <w:r w:rsidR="00DF0A79" w:rsidRPr="00A56506">
        <w:rPr>
          <w:rFonts w:ascii="Times New Roman" w:hAnsi="Times New Roman"/>
        </w:rPr>
        <w:t xml:space="preserve"> </w:t>
      </w:r>
      <w:r w:rsidR="001D7D33" w:rsidRPr="00A56506">
        <w:rPr>
          <w:rFonts w:ascii="Times New Roman" w:hAnsi="Times New Roman"/>
        </w:rPr>
        <w:t>Facility/Equipment Utilization Fees</w:t>
      </w:r>
      <w:r w:rsidR="00B32254" w:rsidRPr="00A56506">
        <w:rPr>
          <w:rFonts w:ascii="Times New Roman" w:hAnsi="Times New Roman"/>
        </w:rPr>
        <w:t>,</w:t>
      </w:r>
      <w:r w:rsidRPr="00A56506">
        <w:rPr>
          <w:rFonts w:ascii="Times New Roman" w:hAnsi="Times New Roman"/>
        </w:rPr>
        <w:t xml:space="preserve"> </w:t>
      </w:r>
      <w:r w:rsidR="00FC292D" w:rsidRPr="00A56506">
        <w:rPr>
          <w:rFonts w:ascii="Times New Roman" w:hAnsi="Times New Roman"/>
        </w:rPr>
        <w:t>11</w:t>
      </w:r>
      <w:r w:rsidR="00C25C3E" w:rsidRPr="00A56506">
        <w:rPr>
          <w:rFonts w:ascii="Times New Roman" w:hAnsi="Times New Roman"/>
        </w:rPr>
        <w:t xml:space="preserve"> </w:t>
      </w:r>
      <w:r w:rsidR="00D30ADB" w:rsidRPr="00A56506">
        <w:rPr>
          <w:rFonts w:ascii="Times New Roman" w:hAnsi="Times New Roman"/>
        </w:rPr>
        <w:t xml:space="preserve">changes </w:t>
      </w:r>
      <w:r w:rsidR="00DF0A79" w:rsidRPr="00A56506">
        <w:rPr>
          <w:rFonts w:ascii="Times New Roman" w:hAnsi="Times New Roman"/>
        </w:rPr>
        <w:t xml:space="preserve">in </w:t>
      </w:r>
      <w:r w:rsidR="00EB4598" w:rsidRPr="00A56506">
        <w:rPr>
          <w:rFonts w:ascii="Times New Roman" w:hAnsi="Times New Roman"/>
        </w:rPr>
        <w:t>Te</w:t>
      </w:r>
      <w:r w:rsidR="001D7D33" w:rsidRPr="00A56506">
        <w:rPr>
          <w:rFonts w:ascii="Times New Roman" w:hAnsi="Times New Roman"/>
        </w:rPr>
        <w:t>sting/</w:t>
      </w:r>
      <w:r w:rsidRPr="00A56506">
        <w:rPr>
          <w:rFonts w:ascii="Times New Roman" w:hAnsi="Times New Roman"/>
        </w:rPr>
        <w:t>Clinical Services Fee</w:t>
      </w:r>
      <w:r w:rsidR="006418CA" w:rsidRPr="00A56506">
        <w:rPr>
          <w:rFonts w:ascii="Times New Roman" w:hAnsi="Times New Roman"/>
        </w:rPr>
        <w:t>s</w:t>
      </w:r>
      <w:r w:rsidR="00B32254" w:rsidRPr="00A56506">
        <w:rPr>
          <w:rFonts w:ascii="Times New Roman" w:hAnsi="Times New Roman"/>
        </w:rPr>
        <w:t>,</w:t>
      </w:r>
      <w:r w:rsidRPr="00A56506">
        <w:rPr>
          <w:rFonts w:ascii="Times New Roman" w:hAnsi="Times New Roman"/>
        </w:rPr>
        <w:t xml:space="preserve"> </w:t>
      </w:r>
      <w:r w:rsidR="00A56506" w:rsidRPr="00A56506">
        <w:rPr>
          <w:rFonts w:ascii="Times New Roman" w:hAnsi="Times New Roman"/>
        </w:rPr>
        <w:t>42</w:t>
      </w:r>
      <w:r w:rsidR="00B32254" w:rsidRPr="00A56506">
        <w:rPr>
          <w:rFonts w:ascii="Times New Roman" w:hAnsi="Times New Roman"/>
        </w:rPr>
        <w:t xml:space="preserve"> changes in</w:t>
      </w:r>
      <w:r w:rsidR="00EF4699" w:rsidRPr="00A56506">
        <w:rPr>
          <w:rFonts w:ascii="Times New Roman" w:hAnsi="Times New Roman"/>
        </w:rPr>
        <w:t xml:space="preserve"> </w:t>
      </w:r>
      <w:r w:rsidR="001D7D33" w:rsidRPr="00A56506">
        <w:rPr>
          <w:rFonts w:ascii="Times New Roman" w:hAnsi="Times New Roman"/>
        </w:rPr>
        <w:t>Classroom/Laboratory Supply and Material Fees</w:t>
      </w:r>
      <w:r w:rsidR="004F65B9" w:rsidRPr="00A56506">
        <w:rPr>
          <w:rFonts w:ascii="Times New Roman" w:hAnsi="Times New Roman"/>
        </w:rPr>
        <w:t xml:space="preserve">, </w:t>
      </w:r>
      <w:r w:rsidR="001D7D33" w:rsidRPr="00A56506">
        <w:rPr>
          <w:rFonts w:ascii="Times New Roman" w:hAnsi="Times New Roman"/>
        </w:rPr>
        <w:t xml:space="preserve">and </w:t>
      </w:r>
      <w:r w:rsidR="00A56506" w:rsidRPr="00A56506">
        <w:rPr>
          <w:rFonts w:ascii="Times New Roman" w:hAnsi="Times New Roman"/>
        </w:rPr>
        <w:t>40</w:t>
      </w:r>
      <w:r w:rsidR="00083862" w:rsidRPr="00A56506">
        <w:rPr>
          <w:rFonts w:ascii="Times New Roman" w:hAnsi="Times New Roman"/>
        </w:rPr>
        <w:t xml:space="preserve"> </w:t>
      </w:r>
      <w:r w:rsidR="00D30ADB" w:rsidRPr="00A56506">
        <w:rPr>
          <w:rFonts w:ascii="Times New Roman" w:hAnsi="Times New Roman"/>
        </w:rPr>
        <w:t>changes in</w:t>
      </w:r>
      <w:r w:rsidR="00DF0A79" w:rsidRPr="00A56506">
        <w:rPr>
          <w:rFonts w:ascii="Times New Roman" w:hAnsi="Times New Roman"/>
        </w:rPr>
        <w:t xml:space="preserve"> </w:t>
      </w:r>
      <w:r w:rsidRPr="00A56506">
        <w:rPr>
          <w:rFonts w:ascii="Times New Roman" w:hAnsi="Times New Roman"/>
        </w:rPr>
        <w:t xml:space="preserve">various </w:t>
      </w:r>
      <w:r w:rsidR="00EB4598" w:rsidRPr="00A56506">
        <w:rPr>
          <w:rFonts w:ascii="Times New Roman" w:hAnsi="Times New Roman"/>
        </w:rPr>
        <w:t>Other Special Fees</w:t>
      </w:r>
      <w:r w:rsidR="00DF0A79" w:rsidRPr="00A56506">
        <w:rPr>
          <w:rFonts w:ascii="Times New Roman" w:hAnsi="Times New Roman"/>
        </w:rPr>
        <w:t>.</w:t>
      </w:r>
      <w:r w:rsidR="00BD3FE5" w:rsidRPr="00A56506">
        <w:rPr>
          <w:rFonts w:ascii="Times New Roman" w:hAnsi="Times New Roman"/>
        </w:rPr>
        <w:t xml:space="preserve"> </w:t>
      </w:r>
      <w:r w:rsidR="001D7D33" w:rsidRPr="00A56506">
        <w:rPr>
          <w:rFonts w:ascii="Times New Roman" w:hAnsi="Times New Roman"/>
        </w:rPr>
        <w:t xml:space="preserve">A total of </w:t>
      </w:r>
      <w:r w:rsidR="00A56506" w:rsidRPr="00A56506">
        <w:rPr>
          <w:rFonts w:ascii="Times New Roman" w:hAnsi="Times New Roman"/>
        </w:rPr>
        <w:t>196</w:t>
      </w:r>
      <w:r w:rsidR="00A03B47" w:rsidRPr="00A56506">
        <w:rPr>
          <w:rFonts w:ascii="Times New Roman" w:hAnsi="Times New Roman"/>
        </w:rPr>
        <w:t xml:space="preserve"> </w:t>
      </w:r>
      <w:r w:rsidR="00672C00" w:rsidRPr="00A56506">
        <w:rPr>
          <w:rFonts w:ascii="Times New Roman" w:hAnsi="Times New Roman"/>
        </w:rPr>
        <w:t>changes have been requested to academic services f</w:t>
      </w:r>
      <w:r w:rsidR="001D7D33" w:rsidRPr="00A56506">
        <w:rPr>
          <w:rFonts w:ascii="Times New Roman" w:hAnsi="Times New Roman"/>
        </w:rPr>
        <w:t xml:space="preserve">ees for </w:t>
      </w:r>
      <w:r w:rsidR="00570FCF" w:rsidRPr="00A56506">
        <w:rPr>
          <w:rFonts w:ascii="Times New Roman" w:hAnsi="Times New Roman"/>
        </w:rPr>
        <w:t>Fiscal Year 20</w:t>
      </w:r>
      <w:r w:rsidR="00201E65" w:rsidRPr="00A56506">
        <w:rPr>
          <w:rFonts w:ascii="Times New Roman" w:hAnsi="Times New Roman"/>
        </w:rPr>
        <w:t>2</w:t>
      </w:r>
      <w:r w:rsidR="00A56506" w:rsidRPr="00A56506">
        <w:rPr>
          <w:rFonts w:ascii="Times New Roman" w:hAnsi="Times New Roman"/>
        </w:rPr>
        <w:t>5</w:t>
      </w:r>
      <w:r w:rsidR="00CF6595" w:rsidRPr="00A56506">
        <w:rPr>
          <w:rFonts w:ascii="Times New Roman" w:hAnsi="Times New Roman"/>
        </w:rPr>
        <w:t xml:space="preserve">, </w:t>
      </w:r>
      <w:r w:rsidR="00FC292D" w:rsidRPr="00A56506">
        <w:rPr>
          <w:rFonts w:ascii="Times New Roman" w:hAnsi="Times New Roman"/>
        </w:rPr>
        <w:t xml:space="preserve">a decrease </w:t>
      </w:r>
      <w:r w:rsidR="00C809B2" w:rsidRPr="00A56506">
        <w:rPr>
          <w:rFonts w:ascii="Times New Roman" w:hAnsi="Times New Roman"/>
        </w:rPr>
        <w:t xml:space="preserve">of </w:t>
      </w:r>
      <w:r w:rsidR="00A56506" w:rsidRPr="00A56506">
        <w:rPr>
          <w:rFonts w:ascii="Times New Roman" w:hAnsi="Times New Roman"/>
        </w:rPr>
        <w:t>82</w:t>
      </w:r>
      <w:r w:rsidR="00B47C8E" w:rsidRPr="00A56506">
        <w:rPr>
          <w:rFonts w:ascii="Times New Roman" w:hAnsi="Times New Roman"/>
        </w:rPr>
        <w:t xml:space="preserve"> requests </w:t>
      </w:r>
      <w:r w:rsidR="00D71F81" w:rsidRPr="00A56506">
        <w:rPr>
          <w:rFonts w:ascii="Times New Roman" w:hAnsi="Times New Roman"/>
        </w:rPr>
        <w:t xml:space="preserve">when compared to </w:t>
      </w:r>
      <w:r w:rsidR="000569FD" w:rsidRPr="00A56506">
        <w:rPr>
          <w:rFonts w:ascii="Times New Roman" w:hAnsi="Times New Roman"/>
        </w:rPr>
        <w:t>FY</w:t>
      </w:r>
      <w:r w:rsidR="00CD46F6" w:rsidRPr="00A56506">
        <w:rPr>
          <w:rFonts w:ascii="Times New Roman" w:hAnsi="Times New Roman"/>
        </w:rPr>
        <w:t>2</w:t>
      </w:r>
      <w:r w:rsidR="00A56506" w:rsidRPr="00A56506">
        <w:rPr>
          <w:rFonts w:ascii="Times New Roman" w:hAnsi="Times New Roman"/>
        </w:rPr>
        <w:t>4</w:t>
      </w:r>
      <w:r w:rsidR="00B47C8E" w:rsidRPr="00A56506">
        <w:rPr>
          <w:rFonts w:ascii="Times New Roman" w:hAnsi="Times New Roman"/>
        </w:rPr>
        <w:t xml:space="preserve"> requests</w:t>
      </w:r>
      <w:r w:rsidR="00A41610" w:rsidRPr="00A56506">
        <w:rPr>
          <w:rFonts w:ascii="Times New Roman" w:hAnsi="Times New Roman"/>
        </w:rPr>
        <w:t>.</w:t>
      </w:r>
      <w:r w:rsidR="00BD3FE5" w:rsidRPr="00A56506">
        <w:rPr>
          <w:rFonts w:ascii="Times New Roman" w:hAnsi="Times New Roman"/>
        </w:rPr>
        <w:t xml:space="preserve"> </w:t>
      </w:r>
      <w:r w:rsidR="00201E65" w:rsidRPr="00A56506">
        <w:rPr>
          <w:rFonts w:ascii="Times New Roman" w:hAnsi="Times New Roman"/>
        </w:rPr>
        <w:t xml:space="preserve">The fee requests consist of </w:t>
      </w:r>
      <w:r w:rsidR="00D45070" w:rsidRPr="00A56506">
        <w:rPr>
          <w:rFonts w:ascii="Times New Roman" w:hAnsi="Times New Roman"/>
        </w:rPr>
        <w:t>65</w:t>
      </w:r>
      <w:r w:rsidR="00A03B47" w:rsidRPr="00A56506">
        <w:rPr>
          <w:rFonts w:ascii="Times New Roman" w:hAnsi="Times New Roman"/>
        </w:rPr>
        <w:t xml:space="preserve"> </w:t>
      </w:r>
      <w:r w:rsidR="00201E65" w:rsidRPr="00A56506">
        <w:rPr>
          <w:rFonts w:ascii="Times New Roman" w:hAnsi="Times New Roman"/>
        </w:rPr>
        <w:t xml:space="preserve">new fees, </w:t>
      </w:r>
      <w:r w:rsidR="00A56506" w:rsidRPr="00A56506">
        <w:rPr>
          <w:rFonts w:ascii="Times New Roman" w:hAnsi="Times New Roman"/>
        </w:rPr>
        <w:t>81</w:t>
      </w:r>
      <w:r w:rsidR="00201E65" w:rsidRPr="00A56506">
        <w:rPr>
          <w:rFonts w:ascii="Times New Roman" w:hAnsi="Times New Roman"/>
        </w:rPr>
        <w:t xml:space="preserve"> modifications to existing fees, and </w:t>
      </w:r>
      <w:r w:rsidR="00A56506" w:rsidRPr="00A56506">
        <w:rPr>
          <w:rFonts w:ascii="Times New Roman" w:hAnsi="Times New Roman"/>
        </w:rPr>
        <w:t>50</w:t>
      </w:r>
      <w:r w:rsidR="00201E65" w:rsidRPr="00A56506">
        <w:rPr>
          <w:rFonts w:ascii="Times New Roman" w:hAnsi="Times New Roman"/>
        </w:rPr>
        <w:t xml:space="preserve"> deletions of current fees.</w:t>
      </w:r>
      <w:r w:rsidR="00201E65" w:rsidRPr="00A03B47">
        <w:rPr>
          <w:rFonts w:ascii="Times New Roman" w:hAnsi="Times New Roman"/>
        </w:rPr>
        <w:t xml:space="preserve"> </w:t>
      </w:r>
      <w:r w:rsidR="00A41610" w:rsidRPr="00A03B47">
        <w:rPr>
          <w:rFonts w:ascii="Times New Roman" w:hAnsi="Times New Roman"/>
        </w:rPr>
        <w:t>T</w:t>
      </w:r>
      <w:r w:rsidR="00DF0A79" w:rsidRPr="00A03B47">
        <w:rPr>
          <w:rFonts w:ascii="Times New Roman" w:hAnsi="Times New Roman"/>
        </w:rPr>
        <w:t xml:space="preserve">he complete listing </w:t>
      </w:r>
      <w:r w:rsidR="00A252B8" w:rsidRPr="00A03B47">
        <w:rPr>
          <w:rFonts w:ascii="Times New Roman" w:hAnsi="Times New Roman"/>
        </w:rPr>
        <w:t xml:space="preserve">of requests </w:t>
      </w:r>
      <w:r w:rsidR="005F3CDC" w:rsidRPr="00A03B47">
        <w:rPr>
          <w:rFonts w:ascii="Times New Roman" w:hAnsi="Times New Roman"/>
        </w:rPr>
        <w:t xml:space="preserve">for posting </w:t>
      </w:r>
      <w:r w:rsidR="00DF0A79" w:rsidRPr="00A03B47">
        <w:rPr>
          <w:rFonts w:ascii="Times New Roman" w:hAnsi="Times New Roman"/>
        </w:rPr>
        <w:t>is attached.</w:t>
      </w:r>
    </w:p>
    <w:p w:rsidR="00CF6595" w:rsidRPr="00E111C9" w:rsidRDefault="00CF6595" w:rsidP="00140A5E">
      <w:pPr>
        <w:rPr>
          <w:rFonts w:ascii="Times New Roman" w:hAnsi="Times New Roman"/>
        </w:rPr>
      </w:pPr>
    </w:p>
    <w:p w:rsidR="000D2F01" w:rsidRDefault="00B33091">
      <w:pPr>
        <w:rPr>
          <w:rFonts w:ascii="Times New Roman" w:hAnsi="Times New Roman"/>
        </w:rPr>
      </w:pPr>
      <w:r w:rsidRPr="00E111C9">
        <w:rPr>
          <w:rFonts w:ascii="Times New Roman" w:hAnsi="Times New Roman"/>
        </w:rPr>
        <w:t>This information is being posted for State Reg</w:t>
      </w:r>
      <w:r w:rsidR="00BF4A3C" w:rsidRPr="00E111C9">
        <w:rPr>
          <w:rFonts w:ascii="Times New Roman" w:hAnsi="Times New Roman"/>
        </w:rPr>
        <w:t>ents’ review and public comment.</w:t>
      </w:r>
      <w:bookmarkStart w:id="0" w:name="RANGE!A1:E28"/>
    </w:p>
    <w:p w:rsidR="00FC292D" w:rsidRDefault="00FC292D">
      <w:pPr>
        <w:rPr>
          <w:rFonts w:ascii="Times New Roman" w:hAnsi="Times New Roman"/>
        </w:rPr>
      </w:pPr>
      <w:r>
        <w:rPr>
          <w:rFonts w:ascii="Times New Roman" w:hAnsi="Times New Roman"/>
        </w:rPr>
        <w:lastRenderedPageBreak/>
        <w:br/>
      </w:r>
      <w:r>
        <w:rPr>
          <w:rFonts w:ascii="Times New Roman" w:hAnsi="Times New Roman"/>
        </w:rPr>
        <w:br/>
      </w:r>
    </w:p>
    <w:tbl>
      <w:tblPr>
        <w:tblW w:w="9876" w:type="dxa"/>
        <w:tblLook w:val="04A0" w:firstRow="1" w:lastRow="0" w:firstColumn="1" w:lastColumn="0" w:noHBand="0" w:noVBand="1"/>
      </w:tblPr>
      <w:tblGrid>
        <w:gridCol w:w="3142"/>
        <w:gridCol w:w="1943"/>
        <w:gridCol w:w="1452"/>
        <w:gridCol w:w="1994"/>
        <w:gridCol w:w="1345"/>
      </w:tblGrid>
      <w:tr w:rsidR="00F67BA3" w:rsidRPr="00F67BA3" w:rsidTr="00F67BA3">
        <w:trPr>
          <w:trHeight w:val="312"/>
        </w:trPr>
        <w:tc>
          <w:tcPr>
            <w:tcW w:w="9876" w:type="dxa"/>
            <w:gridSpan w:val="5"/>
            <w:tcBorders>
              <w:top w:val="nil"/>
              <w:left w:val="nil"/>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sz w:val="24"/>
                <w:szCs w:val="24"/>
              </w:rPr>
            </w:pPr>
            <w:bookmarkStart w:id="1" w:name="RANGE!A1:E27"/>
            <w:bookmarkEnd w:id="0"/>
            <w:r w:rsidRPr="00F67BA3">
              <w:rPr>
                <w:rFonts w:ascii="Times New Roman" w:hAnsi="Times New Roman"/>
                <w:b/>
                <w:bCs/>
                <w:sz w:val="24"/>
                <w:szCs w:val="24"/>
              </w:rPr>
              <w:t>Oklahoma State Regents for Higher Education</w:t>
            </w:r>
            <w:bookmarkEnd w:id="1"/>
          </w:p>
        </w:tc>
      </w:tr>
      <w:tr w:rsidR="00F67BA3" w:rsidRPr="00F67BA3" w:rsidTr="00F67BA3">
        <w:trPr>
          <w:trHeight w:val="330"/>
        </w:trPr>
        <w:tc>
          <w:tcPr>
            <w:tcW w:w="9876" w:type="dxa"/>
            <w:gridSpan w:val="5"/>
            <w:tcBorders>
              <w:top w:val="nil"/>
              <w:left w:val="nil"/>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i/>
                <w:iCs/>
                <w:sz w:val="24"/>
                <w:szCs w:val="24"/>
              </w:rPr>
            </w:pPr>
            <w:r w:rsidRPr="00F67BA3">
              <w:rPr>
                <w:rFonts w:ascii="Times New Roman" w:hAnsi="Times New Roman"/>
                <w:b/>
                <w:bCs/>
                <w:i/>
                <w:iCs/>
                <w:sz w:val="24"/>
                <w:szCs w:val="24"/>
              </w:rPr>
              <w:t>FY2</w:t>
            </w:r>
            <w:r w:rsidR="008A0DC5">
              <w:rPr>
                <w:rFonts w:ascii="Times New Roman" w:hAnsi="Times New Roman"/>
                <w:b/>
                <w:bCs/>
                <w:i/>
                <w:iCs/>
                <w:sz w:val="24"/>
                <w:szCs w:val="24"/>
              </w:rPr>
              <w:t>5</w:t>
            </w:r>
            <w:r w:rsidRPr="00F67BA3">
              <w:rPr>
                <w:rFonts w:ascii="Times New Roman" w:hAnsi="Times New Roman"/>
                <w:b/>
                <w:bCs/>
                <w:i/>
                <w:iCs/>
                <w:sz w:val="24"/>
                <w:szCs w:val="24"/>
              </w:rPr>
              <w:t xml:space="preserve"> Legislative Peer Limits for Tuition and Mandatory Fees</w:t>
            </w:r>
          </w:p>
        </w:tc>
      </w:tr>
      <w:tr w:rsidR="00F67BA3" w:rsidRPr="00F67BA3" w:rsidTr="00F67BA3">
        <w:trPr>
          <w:trHeight w:val="792"/>
        </w:trPr>
        <w:tc>
          <w:tcPr>
            <w:tcW w:w="314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 xml:space="preserve">Undergraduate                             </w:t>
            </w:r>
            <w:proofErr w:type="gramStart"/>
            <w:r w:rsidRPr="00F67BA3">
              <w:rPr>
                <w:rFonts w:ascii="Times New Roman" w:hAnsi="Times New Roman"/>
                <w:b/>
                <w:bCs/>
                <w:sz w:val="20"/>
              </w:rPr>
              <w:t xml:space="preserve">   (</w:t>
            </w:r>
            <w:proofErr w:type="gramEnd"/>
            <w:r w:rsidRPr="00F67BA3">
              <w:rPr>
                <w:rFonts w:ascii="Times New Roman" w:hAnsi="Times New Roman"/>
                <w:b/>
                <w:bCs/>
                <w:sz w:val="20"/>
              </w:rPr>
              <w:t>30 Credit Hours)</w:t>
            </w:r>
          </w:p>
        </w:tc>
        <w:tc>
          <w:tcPr>
            <w:tcW w:w="1943" w:type="dxa"/>
            <w:tcBorders>
              <w:top w:val="single" w:sz="8"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Peer Limit for Resident Tuition and Mandatory Fees</w:t>
            </w:r>
          </w:p>
        </w:tc>
        <w:tc>
          <w:tcPr>
            <w:tcW w:w="1452" w:type="dxa"/>
            <w:tcBorders>
              <w:top w:val="single" w:sz="8"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Per Credit Hour Rate</w:t>
            </w:r>
          </w:p>
        </w:tc>
        <w:tc>
          <w:tcPr>
            <w:tcW w:w="1994" w:type="dxa"/>
            <w:tcBorders>
              <w:top w:val="single" w:sz="8"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Peer Limit for Nonresident Tuition and Mandatory Fees</w:t>
            </w:r>
          </w:p>
        </w:tc>
        <w:tc>
          <w:tcPr>
            <w:tcW w:w="1345" w:type="dxa"/>
            <w:tcBorders>
              <w:top w:val="single" w:sz="8" w:space="0" w:color="auto"/>
              <w:left w:val="nil"/>
              <w:bottom w:val="single" w:sz="4" w:space="0" w:color="auto"/>
              <w:right w:val="single" w:sz="8"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Per Credit Hour Rate</w:t>
            </w:r>
          </w:p>
        </w:tc>
      </w:tr>
      <w:tr w:rsidR="00AE2F49" w:rsidRPr="00F67BA3" w:rsidTr="00AE2F49">
        <w:trPr>
          <w:trHeight w:val="300"/>
        </w:trPr>
        <w:tc>
          <w:tcPr>
            <w:tcW w:w="3142" w:type="dxa"/>
            <w:tcBorders>
              <w:top w:val="nil"/>
              <w:left w:val="single" w:sz="8" w:space="0" w:color="auto"/>
              <w:bottom w:val="nil"/>
              <w:right w:val="single" w:sz="4" w:space="0" w:color="auto"/>
            </w:tcBorders>
            <w:shd w:val="clear" w:color="auto" w:fill="auto"/>
            <w:vAlign w:val="bottom"/>
            <w:hideMark/>
          </w:tcPr>
          <w:p w:rsidR="00AE2F49" w:rsidRDefault="00AE2F49" w:rsidP="00AE2F49">
            <w:pPr>
              <w:jc w:val="left"/>
              <w:rPr>
                <w:rFonts w:ascii="Times New Roman" w:hAnsi="Times New Roman"/>
                <w:b/>
                <w:bCs/>
                <w:sz w:val="20"/>
              </w:rPr>
            </w:pPr>
            <w:r>
              <w:rPr>
                <w:b/>
                <w:bCs/>
                <w:sz w:val="20"/>
              </w:rPr>
              <w:t>Research Universities</w:t>
            </w:r>
          </w:p>
        </w:tc>
        <w:tc>
          <w:tcPr>
            <w:tcW w:w="1943" w:type="dxa"/>
            <w:tcBorders>
              <w:top w:val="nil"/>
              <w:left w:val="nil"/>
              <w:right w:val="single" w:sz="4" w:space="0" w:color="auto"/>
            </w:tcBorders>
            <w:shd w:val="clear" w:color="auto" w:fill="auto"/>
            <w:noWrap/>
            <w:vAlign w:val="bottom"/>
            <w:hideMark/>
          </w:tcPr>
          <w:p w:rsidR="00AE2F49" w:rsidRDefault="00AE2F49" w:rsidP="00AE2F49">
            <w:pPr>
              <w:rPr>
                <w:b/>
                <w:bCs/>
                <w:sz w:val="20"/>
              </w:rPr>
            </w:pPr>
            <w:r>
              <w:rPr>
                <w:b/>
                <w:bCs/>
                <w:sz w:val="20"/>
              </w:rPr>
              <w:t xml:space="preserve"> </w:t>
            </w:r>
          </w:p>
        </w:tc>
        <w:tc>
          <w:tcPr>
            <w:tcW w:w="1452" w:type="dxa"/>
            <w:tcBorders>
              <w:top w:val="nil"/>
              <w:left w:val="nil"/>
              <w:right w:val="single" w:sz="4" w:space="0" w:color="auto"/>
            </w:tcBorders>
            <w:shd w:val="clear" w:color="auto" w:fill="auto"/>
            <w:noWrap/>
            <w:vAlign w:val="bottom"/>
            <w:hideMark/>
          </w:tcPr>
          <w:p w:rsidR="00AE2F49" w:rsidRDefault="00AE2F49" w:rsidP="00AE2F49">
            <w:pPr>
              <w:rPr>
                <w:b/>
                <w:bCs/>
                <w:sz w:val="20"/>
              </w:rPr>
            </w:pPr>
            <w:r>
              <w:rPr>
                <w:b/>
                <w:bCs/>
                <w:sz w:val="20"/>
              </w:rPr>
              <w:t xml:space="preserve"> </w:t>
            </w:r>
          </w:p>
        </w:tc>
        <w:tc>
          <w:tcPr>
            <w:tcW w:w="1994" w:type="dxa"/>
            <w:tcBorders>
              <w:top w:val="nil"/>
              <w:left w:val="nil"/>
              <w:right w:val="single" w:sz="4" w:space="0" w:color="auto"/>
            </w:tcBorders>
            <w:shd w:val="clear" w:color="auto" w:fill="auto"/>
            <w:noWrap/>
            <w:vAlign w:val="bottom"/>
            <w:hideMark/>
          </w:tcPr>
          <w:p w:rsidR="00AE2F49" w:rsidRDefault="00AE2F49" w:rsidP="00AE2F49">
            <w:pPr>
              <w:rPr>
                <w:b/>
                <w:bCs/>
                <w:sz w:val="20"/>
              </w:rPr>
            </w:pPr>
            <w:r>
              <w:rPr>
                <w:b/>
                <w:bCs/>
                <w:sz w:val="20"/>
              </w:rPr>
              <w:t xml:space="preserve"> </w:t>
            </w:r>
          </w:p>
        </w:tc>
        <w:tc>
          <w:tcPr>
            <w:tcW w:w="1345" w:type="dxa"/>
            <w:tcBorders>
              <w:top w:val="nil"/>
              <w:left w:val="nil"/>
              <w:right w:val="single" w:sz="8" w:space="0" w:color="auto"/>
            </w:tcBorders>
            <w:shd w:val="clear" w:color="auto" w:fill="auto"/>
            <w:noWrap/>
            <w:vAlign w:val="bottom"/>
            <w:hideMark/>
          </w:tcPr>
          <w:p w:rsidR="00AE2F49" w:rsidRDefault="00AE2F49" w:rsidP="00AE2F49">
            <w:pPr>
              <w:rPr>
                <w:b/>
                <w:bCs/>
                <w:sz w:val="20"/>
              </w:rPr>
            </w:pPr>
            <w:r>
              <w:rPr>
                <w:b/>
                <w:bCs/>
                <w:sz w:val="20"/>
              </w:rPr>
              <w:t xml:space="preserve"> </w:t>
            </w:r>
          </w:p>
        </w:tc>
      </w:tr>
      <w:tr w:rsidR="008A0DC5" w:rsidRPr="00F67BA3" w:rsidTr="00AE2F49">
        <w:trPr>
          <w:trHeight w:val="72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center"/>
              <w:rPr>
                <w:b/>
                <w:bCs/>
                <w:i/>
                <w:iCs/>
                <w:sz w:val="18"/>
                <w:szCs w:val="18"/>
              </w:rPr>
            </w:pPr>
            <w:r>
              <w:rPr>
                <w:b/>
                <w:bCs/>
                <w:i/>
                <w:iCs/>
                <w:sz w:val="18"/>
                <w:szCs w:val="18"/>
              </w:rPr>
              <w:t>(Includes OSU-OKC; OSU-Okmulgee; OSU, Tulsa; OU Health Sciences Center; and OU, Tulsa)</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rFonts w:ascii="Times New Roman" w:hAnsi="Times New Roman"/>
                <w:b/>
                <w:bCs/>
                <w:sz w:val="20"/>
              </w:rPr>
            </w:pPr>
            <w:r>
              <w:rPr>
                <w:b/>
                <w:bCs/>
                <w:sz w:val="20"/>
              </w:rPr>
              <w:t>$13,304</w:t>
            </w:r>
          </w:p>
        </w:tc>
        <w:tc>
          <w:tcPr>
            <w:tcW w:w="1452"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$443.47</w:t>
            </w:r>
          </w:p>
        </w:tc>
        <w:tc>
          <w:tcPr>
            <w:tcW w:w="1994"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$36,219</w:t>
            </w:r>
          </w:p>
        </w:tc>
        <w:tc>
          <w:tcPr>
            <w:tcW w:w="1345" w:type="dxa"/>
            <w:tcBorders>
              <w:top w:val="nil"/>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$1,207.30</w:t>
            </w:r>
          </w:p>
        </w:tc>
      </w:tr>
      <w:tr w:rsidR="008A0DC5" w:rsidRPr="00F67BA3" w:rsidTr="00AE2F49">
        <w:trPr>
          <w:trHeight w:val="48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left"/>
              <w:rPr>
                <w:rFonts w:ascii="Times New Roman" w:hAnsi="Times New Roman"/>
                <w:b/>
                <w:bCs/>
                <w:sz w:val="20"/>
              </w:rPr>
            </w:pPr>
            <w:r>
              <w:rPr>
                <w:b/>
                <w:bCs/>
                <w:sz w:val="20"/>
              </w:rPr>
              <w:t xml:space="preserve">Regional Universities  </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$9,052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$301.73</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$19,243</w:t>
            </w:r>
          </w:p>
        </w:tc>
        <w:tc>
          <w:tcPr>
            <w:tcW w:w="1345" w:type="dxa"/>
            <w:tcBorders>
              <w:top w:val="single" w:sz="4" w:space="0" w:color="auto"/>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$641.43</w:t>
            </w:r>
          </w:p>
        </w:tc>
      </w:tr>
      <w:tr w:rsidR="008A0DC5" w:rsidRPr="00F67BA3" w:rsidTr="00F67BA3">
        <w:trPr>
          <w:trHeight w:val="30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left"/>
              <w:rPr>
                <w:b/>
                <w:bCs/>
                <w:sz w:val="20"/>
              </w:rPr>
            </w:pPr>
            <w:r>
              <w:rPr>
                <w:b/>
                <w:bCs/>
                <w:sz w:val="20"/>
              </w:rPr>
              <w:t>University of Central Oklahoma</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$9,303</w:t>
            </w:r>
          </w:p>
        </w:tc>
        <w:tc>
          <w:tcPr>
            <w:tcW w:w="1452" w:type="dxa"/>
            <w:tcBorders>
              <w:top w:val="nil"/>
              <w:left w:val="nil"/>
              <w:bottom w:val="nil"/>
              <w:right w:val="single" w:sz="4" w:space="0" w:color="auto"/>
            </w:tcBorders>
            <w:shd w:val="clear" w:color="auto" w:fill="auto"/>
            <w:noWrap/>
            <w:vAlign w:val="bottom"/>
            <w:hideMark/>
          </w:tcPr>
          <w:p w:rsidR="008A0DC5" w:rsidRDefault="008A0DC5" w:rsidP="008A0DC5">
            <w:pPr>
              <w:jc w:val="right"/>
              <w:rPr>
                <w:b/>
                <w:bCs/>
                <w:sz w:val="20"/>
              </w:rPr>
            </w:pPr>
            <w:r>
              <w:rPr>
                <w:b/>
                <w:bCs/>
                <w:sz w:val="20"/>
              </w:rPr>
              <w:t>$310.10</w:t>
            </w:r>
          </w:p>
        </w:tc>
        <w:tc>
          <w:tcPr>
            <w:tcW w:w="1994" w:type="dxa"/>
            <w:tcBorders>
              <w:top w:val="nil"/>
              <w:left w:val="nil"/>
              <w:bottom w:val="nil"/>
              <w:right w:val="single" w:sz="4" w:space="0" w:color="auto"/>
            </w:tcBorders>
            <w:shd w:val="clear" w:color="auto" w:fill="auto"/>
            <w:noWrap/>
            <w:vAlign w:val="bottom"/>
            <w:hideMark/>
          </w:tcPr>
          <w:p w:rsidR="008A0DC5" w:rsidRDefault="008A0DC5" w:rsidP="008A0DC5">
            <w:pPr>
              <w:jc w:val="right"/>
              <w:rPr>
                <w:b/>
                <w:bCs/>
                <w:sz w:val="20"/>
              </w:rPr>
            </w:pPr>
            <w:r>
              <w:rPr>
                <w:b/>
                <w:bCs/>
                <w:sz w:val="20"/>
              </w:rPr>
              <w:t>$22,684</w:t>
            </w:r>
          </w:p>
        </w:tc>
        <w:tc>
          <w:tcPr>
            <w:tcW w:w="1345" w:type="dxa"/>
            <w:tcBorders>
              <w:top w:val="nil"/>
              <w:left w:val="nil"/>
              <w:bottom w:val="nil"/>
              <w:right w:val="single" w:sz="8" w:space="0" w:color="auto"/>
            </w:tcBorders>
            <w:shd w:val="clear" w:color="auto" w:fill="auto"/>
            <w:noWrap/>
            <w:vAlign w:val="bottom"/>
            <w:hideMark/>
          </w:tcPr>
          <w:p w:rsidR="008A0DC5" w:rsidRDefault="008A0DC5" w:rsidP="008A0DC5">
            <w:pPr>
              <w:jc w:val="right"/>
              <w:rPr>
                <w:b/>
                <w:bCs/>
                <w:sz w:val="20"/>
              </w:rPr>
            </w:pPr>
            <w:r>
              <w:rPr>
                <w:b/>
                <w:bCs/>
                <w:sz w:val="20"/>
              </w:rPr>
              <w:t>$756.13</w:t>
            </w:r>
          </w:p>
        </w:tc>
      </w:tr>
      <w:tr w:rsidR="008A0DC5" w:rsidRPr="00F67BA3" w:rsidTr="00F67BA3">
        <w:trPr>
          <w:trHeight w:val="30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left"/>
              <w:rPr>
                <w:b/>
                <w:bCs/>
                <w:sz w:val="20"/>
              </w:rPr>
            </w:pPr>
            <w:r>
              <w:rPr>
                <w:b/>
                <w:bCs/>
                <w:sz w:val="20"/>
              </w:rPr>
              <w:t xml:space="preserve">Univ of Science &amp; Arts of </w:t>
            </w:r>
            <w:proofErr w:type="spellStart"/>
            <w:r>
              <w:rPr>
                <w:b/>
                <w:bCs/>
                <w:sz w:val="20"/>
              </w:rPr>
              <w:t>Okla</w:t>
            </w:r>
            <w:proofErr w:type="spellEnd"/>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$12,310</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$410.33</w:t>
            </w:r>
          </w:p>
        </w:tc>
        <w:tc>
          <w:tcPr>
            <w:tcW w:w="1994" w:type="dxa"/>
            <w:tcBorders>
              <w:top w:val="single" w:sz="4" w:space="0" w:color="auto"/>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$26,177</w:t>
            </w:r>
          </w:p>
        </w:tc>
        <w:tc>
          <w:tcPr>
            <w:tcW w:w="1345" w:type="dxa"/>
            <w:tcBorders>
              <w:top w:val="single" w:sz="4" w:space="0" w:color="auto"/>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$872.57</w:t>
            </w:r>
          </w:p>
        </w:tc>
      </w:tr>
      <w:tr w:rsidR="008A0DC5" w:rsidRPr="00F67BA3" w:rsidTr="00F67BA3">
        <w:trPr>
          <w:trHeight w:val="300"/>
        </w:trPr>
        <w:tc>
          <w:tcPr>
            <w:tcW w:w="3142" w:type="dxa"/>
            <w:tcBorders>
              <w:top w:val="nil"/>
              <w:left w:val="single" w:sz="8" w:space="0" w:color="auto"/>
              <w:bottom w:val="single" w:sz="4" w:space="0" w:color="auto"/>
              <w:right w:val="single" w:sz="4" w:space="0" w:color="auto"/>
            </w:tcBorders>
            <w:shd w:val="clear" w:color="auto" w:fill="auto"/>
            <w:noWrap/>
            <w:vAlign w:val="bottom"/>
            <w:hideMark/>
          </w:tcPr>
          <w:p w:rsidR="008A0DC5" w:rsidRDefault="008A0DC5" w:rsidP="008A0DC5">
            <w:pPr>
              <w:jc w:val="left"/>
              <w:rPr>
                <w:b/>
                <w:bCs/>
                <w:sz w:val="20"/>
              </w:rPr>
            </w:pPr>
            <w:r>
              <w:rPr>
                <w:b/>
                <w:bCs/>
                <w:sz w:val="20"/>
              </w:rPr>
              <w:t>Community Colleges</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$7,401</w:t>
            </w:r>
          </w:p>
        </w:tc>
        <w:tc>
          <w:tcPr>
            <w:tcW w:w="1452"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$246.70</w:t>
            </w:r>
          </w:p>
        </w:tc>
        <w:tc>
          <w:tcPr>
            <w:tcW w:w="1994"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$12,352</w:t>
            </w:r>
          </w:p>
        </w:tc>
        <w:tc>
          <w:tcPr>
            <w:tcW w:w="1345" w:type="dxa"/>
            <w:tcBorders>
              <w:top w:val="nil"/>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$411.73</w:t>
            </w:r>
          </w:p>
        </w:tc>
      </w:tr>
      <w:tr w:rsidR="00F67BA3" w:rsidRPr="00F67BA3" w:rsidTr="00F67BA3">
        <w:trPr>
          <w:trHeight w:val="288"/>
        </w:trPr>
        <w:tc>
          <w:tcPr>
            <w:tcW w:w="3142" w:type="dxa"/>
            <w:tcBorders>
              <w:top w:val="nil"/>
              <w:left w:val="single" w:sz="8" w:space="0" w:color="auto"/>
              <w:bottom w:val="single" w:sz="4" w:space="0" w:color="auto"/>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943" w:type="dxa"/>
            <w:tcBorders>
              <w:top w:val="nil"/>
              <w:left w:val="nil"/>
              <w:bottom w:val="nil"/>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452" w:type="dxa"/>
            <w:tcBorders>
              <w:top w:val="nil"/>
              <w:left w:val="nil"/>
              <w:bottom w:val="nil"/>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994" w:type="dxa"/>
            <w:tcBorders>
              <w:top w:val="nil"/>
              <w:left w:val="nil"/>
              <w:bottom w:val="nil"/>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345" w:type="dxa"/>
            <w:tcBorders>
              <w:top w:val="nil"/>
              <w:left w:val="nil"/>
              <w:bottom w:val="nil"/>
              <w:right w:val="single" w:sz="8" w:space="0" w:color="auto"/>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r>
      <w:tr w:rsidR="00F67BA3" w:rsidRPr="00F67BA3" w:rsidTr="00F67BA3">
        <w:trPr>
          <w:trHeight w:val="792"/>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 xml:space="preserve">Graduate                                                        </w:t>
            </w:r>
            <w:proofErr w:type="gramStart"/>
            <w:r w:rsidRPr="00F67BA3">
              <w:rPr>
                <w:rFonts w:ascii="Times New Roman" w:hAnsi="Times New Roman"/>
                <w:b/>
                <w:bCs/>
                <w:sz w:val="20"/>
              </w:rPr>
              <w:t xml:space="preserve">   (</w:t>
            </w:r>
            <w:proofErr w:type="gramEnd"/>
            <w:r w:rsidRPr="00F67BA3">
              <w:rPr>
                <w:rFonts w:ascii="Times New Roman" w:hAnsi="Times New Roman"/>
                <w:b/>
                <w:bCs/>
                <w:sz w:val="20"/>
              </w:rPr>
              <w:t>24 Credit Hours)</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Peer Limit for Resident Tuition and Mandatory Fees</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Per Credit Hour Rate</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Peer Limit for Nonresident Tuition and Mandatory Fees</w:t>
            </w:r>
          </w:p>
        </w:tc>
        <w:tc>
          <w:tcPr>
            <w:tcW w:w="1345" w:type="dxa"/>
            <w:tcBorders>
              <w:top w:val="single" w:sz="4" w:space="0" w:color="auto"/>
              <w:left w:val="nil"/>
              <w:bottom w:val="single" w:sz="4" w:space="0" w:color="auto"/>
              <w:right w:val="single" w:sz="8" w:space="0" w:color="auto"/>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FY2</w:t>
            </w:r>
            <w:r w:rsidR="008A0DC5">
              <w:rPr>
                <w:rFonts w:ascii="Times New Roman" w:hAnsi="Times New Roman"/>
                <w:b/>
                <w:bCs/>
                <w:sz w:val="20"/>
              </w:rPr>
              <w:t>5</w:t>
            </w:r>
            <w:r w:rsidRPr="00F67BA3">
              <w:rPr>
                <w:rFonts w:ascii="Times New Roman" w:hAnsi="Times New Roman"/>
                <w:b/>
                <w:bCs/>
                <w:sz w:val="20"/>
              </w:rPr>
              <w:t xml:space="preserve"> Per Credit Hour Rate</w:t>
            </w:r>
          </w:p>
        </w:tc>
      </w:tr>
      <w:tr w:rsidR="00622934" w:rsidRPr="00F67BA3" w:rsidTr="00F67BA3">
        <w:trPr>
          <w:trHeight w:val="300"/>
        </w:trPr>
        <w:tc>
          <w:tcPr>
            <w:tcW w:w="3142" w:type="dxa"/>
            <w:tcBorders>
              <w:top w:val="nil"/>
              <w:left w:val="single" w:sz="8" w:space="0" w:color="auto"/>
              <w:bottom w:val="nil"/>
              <w:right w:val="single" w:sz="4" w:space="0" w:color="auto"/>
            </w:tcBorders>
            <w:shd w:val="clear" w:color="auto" w:fill="auto"/>
            <w:noWrap/>
            <w:vAlign w:val="bottom"/>
            <w:hideMark/>
          </w:tcPr>
          <w:p w:rsidR="00622934" w:rsidRDefault="00622934" w:rsidP="00622934">
            <w:pPr>
              <w:jc w:val="left"/>
              <w:rPr>
                <w:rFonts w:ascii="Times New Roman" w:hAnsi="Times New Roman"/>
                <w:b/>
                <w:bCs/>
                <w:sz w:val="20"/>
              </w:rPr>
            </w:pPr>
            <w:r>
              <w:rPr>
                <w:b/>
                <w:bCs/>
                <w:sz w:val="20"/>
              </w:rPr>
              <w:t xml:space="preserve">Research Universities  </w:t>
            </w:r>
          </w:p>
        </w:tc>
        <w:tc>
          <w:tcPr>
            <w:tcW w:w="1943" w:type="dxa"/>
            <w:tcBorders>
              <w:top w:val="nil"/>
              <w:left w:val="nil"/>
              <w:bottom w:val="nil"/>
              <w:right w:val="single" w:sz="4" w:space="0" w:color="auto"/>
            </w:tcBorders>
            <w:shd w:val="clear" w:color="auto" w:fill="auto"/>
            <w:noWrap/>
            <w:vAlign w:val="bottom"/>
            <w:hideMark/>
          </w:tcPr>
          <w:p w:rsidR="00622934" w:rsidRDefault="00622934" w:rsidP="00622934">
            <w:pPr>
              <w:rPr>
                <w:sz w:val="20"/>
              </w:rPr>
            </w:pPr>
            <w:r>
              <w:rPr>
                <w:sz w:val="20"/>
              </w:rPr>
              <w:t> </w:t>
            </w:r>
          </w:p>
        </w:tc>
        <w:tc>
          <w:tcPr>
            <w:tcW w:w="1452" w:type="dxa"/>
            <w:tcBorders>
              <w:top w:val="nil"/>
              <w:left w:val="nil"/>
              <w:bottom w:val="nil"/>
              <w:right w:val="single" w:sz="4" w:space="0" w:color="auto"/>
            </w:tcBorders>
            <w:shd w:val="clear" w:color="auto" w:fill="auto"/>
            <w:noWrap/>
            <w:vAlign w:val="bottom"/>
            <w:hideMark/>
          </w:tcPr>
          <w:p w:rsidR="00622934" w:rsidRDefault="00622934" w:rsidP="00622934">
            <w:pPr>
              <w:rPr>
                <w:sz w:val="20"/>
              </w:rPr>
            </w:pPr>
            <w:r>
              <w:rPr>
                <w:sz w:val="20"/>
              </w:rPr>
              <w:t> </w:t>
            </w:r>
          </w:p>
        </w:tc>
        <w:tc>
          <w:tcPr>
            <w:tcW w:w="1994" w:type="dxa"/>
            <w:tcBorders>
              <w:top w:val="nil"/>
              <w:left w:val="nil"/>
              <w:bottom w:val="nil"/>
              <w:right w:val="single" w:sz="4" w:space="0" w:color="auto"/>
            </w:tcBorders>
            <w:shd w:val="clear" w:color="auto" w:fill="auto"/>
            <w:noWrap/>
            <w:vAlign w:val="bottom"/>
            <w:hideMark/>
          </w:tcPr>
          <w:p w:rsidR="00622934" w:rsidRDefault="00622934" w:rsidP="00622934">
            <w:pPr>
              <w:rPr>
                <w:sz w:val="20"/>
              </w:rPr>
            </w:pPr>
            <w:r>
              <w:rPr>
                <w:sz w:val="20"/>
              </w:rPr>
              <w:t> </w:t>
            </w:r>
          </w:p>
        </w:tc>
        <w:tc>
          <w:tcPr>
            <w:tcW w:w="1345" w:type="dxa"/>
            <w:tcBorders>
              <w:top w:val="nil"/>
              <w:left w:val="nil"/>
              <w:bottom w:val="nil"/>
              <w:right w:val="single" w:sz="8" w:space="0" w:color="auto"/>
            </w:tcBorders>
            <w:shd w:val="clear" w:color="auto" w:fill="auto"/>
            <w:noWrap/>
            <w:vAlign w:val="bottom"/>
            <w:hideMark/>
          </w:tcPr>
          <w:p w:rsidR="00622934" w:rsidRDefault="00622934" w:rsidP="00622934">
            <w:pPr>
              <w:rPr>
                <w:sz w:val="20"/>
              </w:rPr>
            </w:pPr>
            <w:r>
              <w:rPr>
                <w:sz w:val="20"/>
              </w:rPr>
              <w:t> </w:t>
            </w:r>
          </w:p>
        </w:tc>
      </w:tr>
      <w:tr w:rsidR="008A0DC5" w:rsidRPr="00F67BA3" w:rsidTr="00F67BA3">
        <w:trPr>
          <w:trHeight w:val="525"/>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center"/>
              <w:rPr>
                <w:b/>
                <w:bCs/>
                <w:i/>
                <w:iCs/>
                <w:sz w:val="18"/>
                <w:szCs w:val="18"/>
              </w:rPr>
            </w:pPr>
            <w:r>
              <w:rPr>
                <w:b/>
                <w:bCs/>
                <w:i/>
                <w:iCs/>
                <w:sz w:val="18"/>
                <w:szCs w:val="18"/>
              </w:rPr>
              <w:t xml:space="preserve">  (Includes OSU, Tulsa; OU Health Sciences Center; and OU, Tulsa)</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rFonts w:ascii="Times New Roman" w:hAnsi="Times New Roman"/>
                <w:b/>
                <w:bCs/>
                <w:sz w:val="20"/>
              </w:rPr>
            </w:pPr>
            <w:r>
              <w:rPr>
                <w:b/>
                <w:bCs/>
                <w:sz w:val="20"/>
              </w:rPr>
              <w:t>$12,455</w:t>
            </w:r>
          </w:p>
        </w:tc>
        <w:tc>
          <w:tcPr>
            <w:tcW w:w="1452"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$518.96</w:t>
            </w:r>
          </w:p>
        </w:tc>
        <w:tc>
          <w:tcPr>
            <w:tcW w:w="1994"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$28,396</w:t>
            </w:r>
          </w:p>
        </w:tc>
        <w:tc>
          <w:tcPr>
            <w:tcW w:w="1345" w:type="dxa"/>
            <w:tcBorders>
              <w:top w:val="nil"/>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$1,183.17</w:t>
            </w:r>
          </w:p>
        </w:tc>
      </w:tr>
      <w:tr w:rsidR="008A0DC5" w:rsidRPr="00F67BA3" w:rsidTr="00F67BA3">
        <w:trPr>
          <w:trHeight w:val="48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left"/>
              <w:rPr>
                <w:rFonts w:ascii="Times New Roman" w:hAnsi="Times New Roman"/>
                <w:b/>
                <w:bCs/>
                <w:sz w:val="20"/>
              </w:rPr>
            </w:pPr>
            <w:r>
              <w:rPr>
                <w:b/>
                <w:bCs/>
                <w:sz w:val="20"/>
              </w:rPr>
              <w:t>Regional Universities</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$9,550</w:t>
            </w:r>
          </w:p>
        </w:tc>
        <w:tc>
          <w:tcPr>
            <w:tcW w:w="1452"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$397.92</w:t>
            </w:r>
          </w:p>
        </w:tc>
        <w:tc>
          <w:tcPr>
            <w:tcW w:w="1994"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$16,876</w:t>
            </w:r>
          </w:p>
        </w:tc>
        <w:tc>
          <w:tcPr>
            <w:tcW w:w="1345" w:type="dxa"/>
            <w:tcBorders>
              <w:top w:val="nil"/>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$703.17</w:t>
            </w:r>
          </w:p>
        </w:tc>
      </w:tr>
      <w:tr w:rsidR="008A0DC5" w:rsidRPr="00F67BA3" w:rsidTr="00F67BA3">
        <w:trPr>
          <w:trHeight w:val="300"/>
        </w:trPr>
        <w:tc>
          <w:tcPr>
            <w:tcW w:w="3142" w:type="dxa"/>
            <w:tcBorders>
              <w:top w:val="nil"/>
              <w:left w:val="single" w:sz="8" w:space="0" w:color="auto"/>
              <w:bottom w:val="single" w:sz="4" w:space="0" w:color="auto"/>
              <w:right w:val="single" w:sz="4" w:space="0" w:color="auto"/>
            </w:tcBorders>
            <w:shd w:val="clear" w:color="auto" w:fill="auto"/>
            <w:vAlign w:val="bottom"/>
            <w:hideMark/>
          </w:tcPr>
          <w:p w:rsidR="008A0DC5" w:rsidRDefault="008A0DC5" w:rsidP="008A0DC5">
            <w:pPr>
              <w:jc w:val="left"/>
              <w:rPr>
                <w:b/>
                <w:bCs/>
                <w:sz w:val="20"/>
              </w:rPr>
            </w:pPr>
            <w:r>
              <w:rPr>
                <w:b/>
                <w:bCs/>
                <w:sz w:val="20"/>
              </w:rPr>
              <w:t>University of Central Oklahoma</w:t>
            </w:r>
          </w:p>
        </w:tc>
        <w:tc>
          <w:tcPr>
            <w:tcW w:w="1943"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$10,903</w:t>
            </w:r>
          </w:p>
        </w:tc>
        <w:tc>
          <w:tcPr>
            <w:tcW w:w="1452"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$454.29</w:t>
            </w:r>
          </w:p>
        </w:tc>
        <w:tc>
          <w:tcPr>
            <w:tcW w:w="1994" w:type="dxa"/>
            <w:tcBorders>
              <w:top w:val="nil"/>
              <w:left w:val="nil"/>
              <w:bottom w:val="single" w:sz="4" w:space="0" w:color="auto"/>
              <w:right w:val="single" w:sz="4" w:space="0" w:color="auto"/>
            </w:tcBorders>
            <w:shd w:val="clear" w:color="auto" w:fill="auto"/>
            <w:noWrap/>
            <w:vAlign w:val="bottom"/>
            <w:hideMark/>
          </w:tcPr>
          <w:p w:rsidR="008A0DC5" w:rsidRDefault="008A0DC5" w:rsidP="008A0DC5">
            <w:pPr>
              <w:jc w:val="right"/>
              <w:rPr>
                <w:b/>
                <w:bCs/>
                <w:sz w:val="20"/>
              </w:rPr>
            </w:pPr>
            <w:r>
              <w:rPr>
                <w:b/>
                <w:bCs/>
                <w:sz w:val="20"/>
              </w:rPr>
              <w:t>$22,058</w:t>
            </w:r>
          </w:p>
        </w:tc>
        <w:tc>
          <w:tcPr>
            <w:tcW w:w="1345" w:type="dxa"/>
            <w:tcBorders>
              <w:top w:val="nil"/>
              <w:left w:val="nil"/>
              <w:bottom w:val="single" w:sz="4" w:space="0" w:color="auto"/>
              <w:right w:val="single" w:sz="8" w:space="0" w:color="auto"/>
            </w:tcBorders>
            <w:shd w:val="clear" w:color="auto" w:fill="auto"/>
            <w:noWrap/>
            <w:vAlign w:val="bottom"/>
            <w:hideMark/>
          </w:tcPr>
          <w:p w:rsidR="008A0DC5" w:rsidRDefault="008A0DC5" w:rsidP="008A0DC5">
            <w:pPr>
              <w:jc w:val="right"/>
              <w:rPr>
                <w:b/>
                <w:bCs/>
                <w:sz w:val="20"/>
              </w:rPr>
            </w:pPr>
            <w:r>
              <w:rPr>
                <w:b/>
                <w:bCs/>
                <w:sz w:val="20"/>
              </w:rPr>
              <w:t>$919.08</w:t>
            </w:r>
          </w:p>
        </w:tc>
      </w:tr>
      <w:tr w:rsidR="00F67BA3" w:rsidRPr="00F67BA3" w:rsidTr="00F67BA3">
        <w:trPr>
          <w:trHeight w:val="288"/>
        </w:trPr>
        <w:tc>
          <w:tcPr>
            <w:tcW w:w="3142" w:type="dxa"/>
            <w:tcBorders>
              <w:top w:val="nil"/>
              <w:left w:val="single" w:sz="8" w:space="0" w:color="auto"/>
              <w:bottom w:val="single" w:sz="4" w:space="0" w:color="auto"/>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943" w:type="dxa"/>
            <w:tcBorders>
              <w:top w:val="nil"/>
              <w:left w:val="nil"/>
              <w:bottom w:val="single" w:sz="4" w:space="0" w:color="auto"/>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452" w:type="dxa"/>
            <w:tcBorders>
              <w:top w:val="nil"/>
              <w:left w:val="nil"/>
              <w:bottom w:val="single" w:sz="4" w:space="0" w:color="auto"/>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994" w:type="dxa"/>
            <w:tcBorders>
              <w:top w:val="nil"/>
              <w:left w:val="nil"/>
              <w:bottom w:val="single" w:sz="4" w:space="0" w:color="auto"/>
              <w:right w:val="nil"/>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c>
          <w:tcPr>
            <w:tcW w:w="1345" w:type="dxa"/>
            <w:tcBorders>
              <w:top w:val="nil"/>
              <w:left w:val="nil"/>
              <w:bottom w:val="single" w:sz="4" w:space="0" w:color="auto"/>
              <w:right w:val="single" w:sz="8" w:space="0" w:color="auto"/>
            </w:tcBorders>
            <w:shd w:val="clear" w:color="auto" w:fill="auto"/>
            <w:noWrap/>
            <w:vAlign w:val="bottom"/>
            <w:hideMark/>
          </w:tcPr>
          <w:p w:rsidR="00F67BA3" w:rsidRPr="00F67BA3" w:rsidRDefault="00F67BA3" w:rsidP="00F67BA3">
            <w:pPr>
              <w:jc w:val="left"/>
              <w:rPr>
                <w:rFonts w:ascii="Times New Roman" w:hAnsi="Times New Roman"/>
                <w:sz w:val="20"/>
              </w:rPr>
            </w:pPr>
            <w:r w:rsidRPr="00F67BA3">
              <w:rPr>
                <w:rFonts w:ascii="Times New Roman" w:hAnsi="Times New Roman"/>
                <w:sz w:val="20"/>
              </w:rPr>
              <w:t> </w:t>
            </w:r>
          </w:p>
        </w:tc>
      </w:tr>
      <w:tr w:rsidR="00F67BA3" w:rsidRPr="00F67BA3" w:rsidTr="00F67BA3">
        <w:trPr>
          <w:trHeight w:val="930"/>
        </w:trPr>
        <w:tc>
          <w:tcPr>
            <w:tcW w:w="9876" w:type="dxa"/>
            <w:gridSpan w:val="5"/>
            <w:tcBorders>
              <w:top w:val="single" w:sz="4" w:space="0" w:color="auto"/>
              <w:left w:val="single" w:sz="8" w:space="0" w:color="auto"/>
              <w:bottom w:val="nil"/>
              <w:right w:val="single" w:sz="8" w:space="0" w:color="000000"/>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70 O.S. Section 3218.8, provides that the limits for undergraduate resident tuition and mandatory fees shall be less than the average of resident tuition and mandatory fees at peer institutions for each tier.  Guaranteed tuition shall not exceed one hundred and fifteen percent (115%) of the nonguaranteed tuition rate.</w:t>
            </w:r>
          </w:p>
        </w:tc>
      </w:tr>
      <w:tr w:rsidR="00F67BA3" w:rsidRPr="00F67BA3" w:rsidTr="00F67BA3">
        <w:trPr>
          <w:trHeight w:val="660"/>
        </w:trPr>
        <w:tc>
          <w:tcPr>
            <w:tcW w:w="9876" w:type="dxa"/>
            <w:gridSpan w:val="5"/>
            <w:tcBorders>
              <w:top w:val="nil"/>
              <w:left w:val="single" w:sz="8" w:space="0" w:color="auto"/>
              <w:bottom w:val="nil"/>
              <w:right w:val="single" w:sz="8" w:space="0" w:color="000000"/>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Undergraduate nonresident tuition and mandatory fees shall be less than 105 percent (105%) of the average of nonresident tuition and mandatory fees at peer institutions for each tier.</w:t>
            </w:r>
          </w:p>
        </w:tc>
      </w:tr>
      <w:tr w:rsidR="00F67BA3" w:rsidRPr="00F67BA3" w:rsidTr="00F67BA3">
        <w:trPr>
          <w:trHeight w:val="900"/>
        </w:trPr>
        <w:tc>
          <w:tcPr>
            <w:tcW w:w="9876" w:type="dxa"/>
            <w:gridSpan w:val="5"/>
            <w:tcBorders>
              <w:top w:val="nil"/>
              <w:left w:val="single" w:sz="8" w:space="0" w:color="auto"/>
              <w:bottom w:val="nil"/>
              <w:right w:val="single" w:sz="8" w:space="0" w:color="000000"/>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70 O. S Section 3218.9, provides that the limits for graduate resident and graduate nonresident tuition and mandatory fees shall be less than the average resident and nonresident tuition and mandatory fees at peer institutions for each tier.</w:t>
            </w:r>
          </w:p>
        </w:tc>
      </w:tr>
      <w:tr w:rsidR="00F67BA3" w:rsidRPr="00F67BA3" w:rsidTr="00F67BA3">
        <w:trPr>
          <w:trHeight w:val="255"/>
        </w:trPr>
        <w:tc>
          <w:tcPr>
            <w:tcW w:w="3142" w:type="dxa"/>
            <w:tcBorders>
              <w:top w:val="nil"/>
              <w:left w:val="single" w:sz="8" w:space="0" w:color="auto"/>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sz w:val="20"/>
                <w:u w:val="single"/>
              </w:rPr>
            </w:pPr>
            <w:r w:rsidRPr="00F67BA3">
              <w:rPr>
                <w:rFonts w:ascii="Times New Roman" w:hAnsi="Times New Roman"/>
                <w:b/>
                <w:bCs/>
                <w:sz w:val="20"/>
                <w:u w:val="single"/>
              </w:rPr>
              <w:t>TIER</w:t>
            </w:r>
          </w:p>
        </w:tc>
        <w:tc>
          <w:tcPr>
            <w:tcW w:w="6734" w:type="dxa"/>
            <w:gridSpan w:val="4"/>
            <w:tcBorders>
              <w:top w:val="nil"/>
              <w:left w:val="nil"/>
              <w:bottom w:val="nil"/>
              <w:right w:val="single" w:sz="8" w:space="0" w:color="000000"/>
            </w:tcBorders>
            <w:shd w:val="clear" w:color="auto" w:fill="auto"/>
            <w:noWrap/>
            <w:vAlign w:val="bottom"/>
            <w:hideMark/>
          </w:tcPr>
          <w:p w:rsidR="00F67BA3" w:rsidRPr="00F67BA3" w:rsidRDefault="00F67BA3" w:rsidP="00F67BA3">
            <w:pPr>
              <w:jc w:val="center"/>
              <w:rPr>
                <w:rFonts w:ascii="Times New Roman" w:hAnsi="Times New Roman"/>
                <w:b/>
                <w:bCs/>
                <w:sz w:val="20"/>
                <w:u w:val="single"/>
              </w:rPr>
            </w:pPr>
          </w:p>
        </w:tc>
      </w:tr>
      <w:tr w:rsidR="00F67BA3" w:rsidRPr="00F67BA3" w:rsidTr="00F67BA3">
        <w:trPr>
          <w:trHeight w:val="300"/>
        </w:trPr>
        <w:tc>
          <w:tcPr>
            <w:tcW w:w="3142" w:type="dxa"/>
            <w:tcBorders>
              <w:top w:val="nil"/>
              <w:left w:val="single" w:sz="8" w:space="0" w:color="auto"/>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Research Universities</w:t>
            </w:r>
          </w:p>
        </w:tc>
        <w:tc>
          <w:tcPr>
            <w:tcW w:w="6734" w:type="dxa"/>
            <w:gridSpan w:val="4"/>
            <w:tcBorders>
              <w:top w:val="nil"/>
              <w:left w:val="nil"/>
              <w:bottom w:val="nil"/>
              <w:right w:val="single" w:sz="8" w:space="0" w:color="000000"/>
            </w:tcBorders>
            <w:shd w:val="clear" w:color="auto" w:fill="auto"/>
            <w:noWrap/>
            <w:vAlign w:val="bottom"/>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Big 12 Public Institutions</w:t>
            </w:r>
          </w:p>
        </w:tc>
      </w:tr>
      <w:tr w:rsidR="00F67BA3" w:rsidRPr="00F67BA3" w:rsidTr="00F67BA3">
        <w:trPr>
          <w:trHeight w:val="255"/>
        </w:trPr>
        <w:tc>
          <w:tcPr>
            <w:tcW w:w="3142" w:type="dxa"/>
            <w:tcBorders>
              <w:top w:val="nil"/>
              <w:left w:val="single" w:sz="8" w:space="0" w:color="auto"/>
              <w:bottom w:val="nil"/>
              <w:right w:val="nil"/>
            </w:tcBorders>
            <w:shd w:val="clear" w:color="auto" w:fill="auto"/>
            <w:noWrap/>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Regional Universities</w:t>
            </w:r>
          </w:p>
        </w:tc>
        <w:tc>
          <w:tcPr>
            <w:tcW w:w="6734" w:type="dxa"/>
            <w:gridSpan w:val="4"/>
            <w:tcBorders>
              <w:top w:val="nil"/>
              <w:left w:val="nil"/>
              <w:bottom w:val="nil"/>
              <w:right w:val="single" w:sz="8" w:space="0" w:color="000000"/>
            </w:tcBorders>
            <w:shd w:val="clear" w:color="auto" w:fill="auto"/>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Like-type public institutions in surrounding and other states</w:t>
            </w:r>
          </w:p>
        </w:tc>
      </w:tr>
      <w:tr w:rsidR="00F67BA3" w:rsidRPr="00F67BA3" w:rsidTr="00F67BA3">
        <w:trPr>
          <w:trHeight w:val="288"/>
        </w:trPr>
        <w:tc>
          <w:tcPr>
            <w:tcW w:w="3142" w:type="dxa"/>
            <w:tcBorders>
              <w:top w:val="nil"/>
              <w:left w:val="single" w:sz="8" w:space="0" w:color="auto"/>
              <w:bottom w:val="nil"/>
              <w:right w:val="nil"/>
            </w:tcBorders>
            <w:shd w:val="clear" w:color="auto" w:fill="auto"/>
            <w:noWrap/>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Community Colleges</w:t>
            </w:r>
          </w:p>
        </w:tc>
        <w:tc>
          <w:tcPr>
            <w:tcW w:w="6734" w:type="dxa"/>
            <w:gridSpan w:val="4"/>
            <w:tcBorders>
              <w:top w:val="nil"/>
              <w:left w:val="nil"/>
              <w:bottom w:val="nil"/>
              <w:right w:val="single" w:sz="8" w:space="0" w:color="000000"/>
            </w:tcBorders>
            <w:shd w:val="clear" w:color="auto" w:fill="auto"/>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Like-type public institutions in surrounding and other states</w:t>
            </w:r>
          </w:p>
        </w:tc>
      </w:tr>
      <w:tr w:rsidR="00F67BA3" w:rsidRPr="00F67BA3" w:rsidTr="00F67BA3">
        <w:trPr>
          <w:trHeight w:val="615"/>
        </w:trPr>
        <w:tc>
          <w:tcPr>
            <w:tcW w:w="9876" w:type="dxa"/>
            <w:gridSpan w:val="5"/>
            <w:tcBorders>
              <w:top w:val="nil"/>
              <w:left w:val="single" w:sz="8" w:space="0" w:color="auto"/>
              <w:bottom w:val="nil"/>
              <w:right w:val="single" w:sz="8" w:space="0" w:color="000000"/>
            </w:tcBorders>
            <w:shd w:val="clear" w:color="auto" w:fill="auto"/>
            <w:vAlign w:val="bottom"/>
            <w:hideMark/>
          </w:tcPr>
          <w:p w:rsidR="00F67BA3" w:rsidRPr="00F67BA3" w:rsidRDefault="00F67BA3" w:rsidP="00F67BA3">
            <w:pPr>
              <w:jc w:val="center"/>
              <w:rPr>
                <w:rFonts w:ascii="Times New Roman" w:hAnsi="Times New Roman"/>
                <w:b/>
                <w:bCs/>
                <w:i/>
                <w:iCs/>
                <w:sz w:val="20"/>
              </w:rPr>
            </w:pPr>
            <w:r w:rsidRPr="00F67BA3">
              <w:rPr>
                <w:rFonts w:ascii="Times New Roman" w:hAnsi="Times New Roman"/>
                <w:b/>
                <w:bCs/>
                <w:i/>
                <w:iCs/>
                <w:sz w:val="20"/>
              </w:rPr>
              <w:t>At their meeting in June 202</w:t>
            </w:r>
            <w:r w:rsidR="00AC56C3">
              <w:rPr>
                <w:rFonts w:ascii="Times New Roman" w:hAnsi="Times New Roman"/>
                <w:b/>
                <w:bCs/>
                <w:i/>
                <w:iCs/>
                <w:sz w:val="20"/>
              </w:rPr>
              <w:t>4</w:t>
            </w:r>
            <w:r w:rsidRPr="00F67BA3">
              <w:rPr>
                <w:rFonts w:ascii="Times New Roman" w:hAnsi="Times New Roman"/>
                <w:b/>
                <w:bCs/>
                <w:i/>
                <w:iCs/>
                <w:sz w:val="20"/>
              </w:rPr>
              <w:t>, State Regents will consider FY2</w:t>
            </w:r>
            <w:r w:rsidR="00AC56C3">
              <w:rPr>
                <w:rFonts w:ascii="Times New Roman" w:hAnsi="Times New Roman"/>
                <w:b/>
                <w:bCs/>
                <w:i/>
                <w:iCs/>
                <w:sz w:val="20"/>
              </w:rPr>
              <w:t>5</w:t>
            </w:r>
            <w:r w:rsidRPr="00F67BA3">
              <w:rPr>
                <w:rFonts w:ascii="Times New Roman" w:hAnsi="Times New Roman"/>
                <w:b/>
                <w:bCs/>
                <w:i/>
                <w:iCs/>
                <w:sz w:val="20"/>
              </w:rPr>
              <w:t xml:space="preserve"> undergraduate and graduate tuition and mandatory fee requests from institutions which are within the legislative limits posted above.</w:t>
            </w:r>
          </w:p>
        </w:tc>
      </w:tr>
      <w:tr w:rsidR="00F67BA3" w:rsidRPr="00F67BA3" w:rsidTr="00F67BA3">
        <w:trPr>
          <w:trHeight w:val="120"/>
        </w:trPr>
        <w:tc>
          <w:tcPr>
            <w:tcW w:w="3142" w:type="dxa"/>
            <w:tcBorders>
              <w:top w:val="nil"/>
              <w:left w:val="single" w:sz="8" w:space="0" w:color="auto"/>
              <w:bottom w:val="single" w:sz="8" w:space="0" w:color="auto"/>
              <w:right w:val="nil"/>
            </w:tcBorders>
            <w:shd w:val="clear" w:color="auto" w:fill="auto"/>
            <w:noWrap/>
            <w:vAlign w:val="bottom"/>
            <w:hideMark/>
          </w:tcPr>
          <w:p w:rsidR="00F67BA3" w:rsidRPr="00F67BA3" w:rsidRDefault="00F67BA3" w:rsidP="00F67BA3">
            <w:pPr>
              <w:jc w:val="left"/>
              <w:rPr>
                <w:rFonts w:ascii="Calibri" w:hAnsi="Calibri" w:cs="Calibri"/>
                <w:color w:val="000000"/>
                <w:szCs w:val="22"/>
              </w:rPr>
            </w:pPr>
            <w:r w:rsidRPr="00F67BA3">
              <w:rPr>
                <w:rFonts w:ascii="Calibri" w:hAnsi="Calibri" w:cs="Calibri"/>
                <w:color w:val="000000"/>
                <w:szCs w:val="22"/>
              </w:rPr>
              <w:t> </w:t>
            </w:r>
          </w:p>
        </w:tc>
        <w:tc>
          <w:tcPr>
            <w:tcW w:w="1943" w:type="dxa"/>
            <w:tcBorders>
              <w:top w:val="nil"/>
              <w:left w:val="nil"/>
              <w:bottom w:val="single" w:sz="8" w:space="0" w:color="auto"/>
              <w:right w:val="nil"/>
            </w:tcBorders>
            <w:shd w:val="clear" w:color="auto" w:fill="auto"/>
            <w:noWrap/>
            <w:vAlign w:val="bottom"/>
            <w:hideMark/>
          </w:tcPr>
          <w:p w:rsidR="00F67BA3" w:rsidRPr="00F67BA3" w:rsidRDefault="00F67BA3" w:rsidP="00F67BA3">
            <w:pPr>
              <w:jc w:val="left"/>
              <w:rPr>
                <w:rFonts w:ascii="Calibri" w:hAnsi="Calibri" w:cs="Calibri"/>
                <w:color w:val="000000"/>
                <w:szCs w:val="22"/>
              </w:rPr>
            </w:pPr>
            <w:r w:rsidRPr="00F67BA3">
              <w:rPr>
                <w:rFonts w:ascii="Calibri" w:hAnsi="Calibri" w:cs="Calibri"/>
                <w:color w:val="000000"/>
                <w:szCs w:val="22"/>
              </w:rPr>
              <w:t> </w:t>
            </w:r>
          </w:p>
        </w:tc>
        <w:tc>
          <w:tcPr>
            <w:tcW w:w="1452" w:type="dxa"/>
            <w:tcBorders>
              <w:top w:val="nil"/>
              <w:left w:val="nil"/>
              <w:bottom w:val="single" w:sz="8" w:space="0" w:color="auto"/>
              <w:right w:val="nil"/>
            </w:tcBorders>
            <w:shd w:val="clear" w:color="auto" w:fill="auto"/>
            <w:noWrap/>
            <w:vAlign w:val="bottom"/>
            <w:hideMark/>
          </w:tcPr>
          <w:p w:rsidR="00F67BA3" w:rsidRPr="00F67BA3" w:rsidRDefault="00F67BA3" w:rsidP="00F67BA3">
            <w:pPr>
              <w:jc w:val="left"/>
              <w:rPr>
                <w:rFonts w:ascii="Calibri" w:hAnsi="Calibri" w:cs="Calibri"/>
                <w:color w:val="000000"/>
                <w:szCs w:val="22"/>
              </w:rPr>
            </w:pPr>
            <w:r w:rsidRPr="00F67BA3">
              <w:rPr>
                <w:rFonts w:ascii="Calibri" w:hAnsi="Calibri" w:cs="Calibri"/>
                <w:color w:val="000000"/>
                <w:szCs w:val="22"/>
              </w:rPr>
              <w:t> </w:t>
            </w:r>
          </w:p>
        </w:tc>
        <w:tc>
          <w:tcPr>
            <w:tcW w:w="1994" w:type="dxa"/>
            <w:tcBorders>
              <w:top w:val="nil"/>
              <w:left w:val="nil"/>
              <w:bottom w:val="single" w:sz="8" w:space="0" w:color="auto"/>
              <w:right w:val="nil"/>
            </w:tcBorders>
            <w:shd w:val="clear" w:color="auto" w:fill="auto"/>
            <w:noWrap/>
            <w:vAlign w:val="bottom"/>
            <w:hideMark/>
          </w:tcPr>
          <w:p w:rsidR="00F67BA3" w:rsidRPr="00F67BA3" w:rsidRDefault="00F67BA3" w:rsidP="00F67BA3">
            <w:pPr>
              <w:jc w:val="left"/>
              <w:rPr>
                <w:rFonts w:ascii="Calibri" w:hAnsi="Calibri" w:cs="Calibri"/>
                <w:color w:val="000000"/>
                <w:szCs w:val="22"/>
              </w:rPr>
            </w:pPr>
            <w:r w:rsidRPr="00F67BA3">
              <w:rPr>
                <w:rFonts w:ascii="Calibri" w:hAnsi="Calibri" w:cs="Calibri"/>
                <w:color w:val="000000"/>
                <w:szCs w:val="22"/>
              </w:rPr>
              <w:t> </w:t>
            </w:r>
          </w:p>
        </w:tc>
        <w:tc>
          <w:tcPr>
            <w:tcW w:w="1345" w:type="dxa"/>
            <w:tcBorders>
              <w:top w:val="nil"/>
              <w:left w:val="nil"/>
              <w:bottom w:val="single" w:sz="8" w:space="0" w:color="auto"/>
              <w:right w:val="single" w:sz="8" w:space="0" w:color="auto"/>
            </w:tcBorders>
            <w:shd w:val="clear" w:color="auto" w:fill="auto"/>
            <w:noWrap/>
            <w:vAlign w:val="bottom"/>
            <w:hideMark/>
          </w:tcPr>
          <w:p w:rsidR="00F67BA3" w:rsidRPr="00F67BA3" w:rsidRDefault="00F67BA3" w:rsidP="00F67BA3">
            <w:pPr>
              <w:jc w:val="left"/>
              <w:rPr>
                <w:rFonts w:ascii="Calibri" w:hAnsi="Calibri" w:cs="Calibri"/>
                <w:color w:val="000000"/>
                <w:szCs w:val="22"/>
              </w:rPr>
            </w:pPr>
            <w:r w:rsidRPr="00F67BA3">
              <w:rPr>
                <w:rFonts w:ascii="Calibri" w:hAnsi="Calibri" w:cs="Calibri"/>
                <w:color w:val="000000"/>
                <w:szCs w:val="22"/>
              </w:rPr>
              <w:t> </w:t>
            </w:r>
          </w:p>
        </w:tc>
      </w:tr>
    </w:tbl>
    <w:p w:rsidR="00933351" w:rsidRDefault="00933351">
      <w:pPr>
        <w:jc w:val="left"/>
        <w:rPr>
          <w:rFonts w:ascii="Times New Roman" w:hAnsi="Times New Roman"/>
        </w:rPr>
      </w:pPr>
    </w:p>
    <w:p w:rsidR="00933351" w:rsidRDefault="00622934">
      <w:pPr>
        <w:jc w:val="left"/>
        <w:rPr>
          <w:rFonts w:ascii="Times New Roman" w:hAnsi="Times New Roman"/>
        </w:rPr>
      </w:pPr>
      <w:r>
        <w:rPr>
          <w:rFonts w:ascii="Times New Roman" w:hAnsi="Times New Roman"/>
        </w:rPr>
        <w:lastRenderedPageBreak/>
        <w:br/>
      </w:r>
      <w:r>
        <w:rPr>
          <w:rFonts w:ascii="Times New Roman" w:hAnsi="Times New Roman"/>
        </w:rPr>
        <w:br/>
      </w:r>
    </w:p>
    <w:tbl>
      <w:tblPr>
        <w:tblW w:w="9576" w:type="dxa"/>
        <w:tblLook w:val="04A0" w:firstRow="1" w:lastRow="0" w:firstColumn="1" w:lastColumn="0" w:noHBand="0" w:noVBand="1"/>
      </w:tblPr>
      <w:tblGrid>
        <w:gridCol w:w="4882"/>
        <w:gridCol w:w="2303"/>
        <w:gridCol w:w="2391"/>
      </w:tblGrid>
      <w:tr w:rsidR="00F67BA3" w:rsidRPr="00F67BA3" w:rsidTr="00F67BA3">
        <w:trPr>
          <w:trHeight w:val="288"/>
        </w:trPr>
        <w:tc>
          <w:tcPr>
            <w:tcW w:w="9576" w:type="dxa"/>
            <w:gridSpan w:val="3"/>
            <w:tcBorders>
              <w:top w:val="nil"/>
              <w:left w:val="nil"/>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szCs w:val="22"/>
              </w:rPr>
            </w:pPr>
            <w:r w:rsidRPr="00F67BA3">
              <w:rPr>
                <w:rFonts w:ascii="Times New Roman" w:hAnsi="Times New Roman"/>
                <w:b/>
                <w:bCs/>
                <w:szCs w:val="22"/>
              </w:rPr>
              <w:t>Oklahoma State Regents for Higher Education</w:t>
            </w:r>
          </w:p>
        </w:tc>
      </w:tr>
      <w:tr w:rsidR="00F67BA3" w:rsidRPr="00F67BA3" w:rsidTr="00F67BA3">
        <w:trPr>
          <w:trHeight w:val="330"/>
        </w:trPr>
        <w:tc>
          <w:tcPr>
            <w:tcW w:w="9576" w:type="dxa"/>
            <w:gridSpan w:val="3"/>
            <w:tcBorders>
              <w:top w:val="nil"/>
              <w:left w:val="nil"/>
              <w:bottom w:val="nil"/>
              <w:right w:val="nil"/>
            </w:tcBorders>
            <w:shd w:val="clear" w:color="auto" w:fill="auto"/>
            <w:noWrap/>
            <w:vAlign w:val="bottom"/>
            <w:hideMark/>
          </w:tcPr>
          <w:p w:rsidR="00F67BA3" w:rsidRPr="00F67BA3" w:rsidRDefault="00F67BA3" w:rsidP="00F67BA3">
            <w:pPr>
              <w:jc w:val="center"/>
              <w:rPr>
                <w:rFonts w:ascii="Times New Roman" w:hAnsi="Times New Roman"/>
                <w:b/>
                <w:bCs/>
                <w:i/>
                <w:iCs/>
                <w:sz w:val="24"/>
                <w:szCs w:val="24"/>
              </w:rPr>
            </w:pPr>
            <w:r w:rsidRPr="00F67BA3">
              <w:rPr>
                <w:rFonts w:ascii="Times New Roman" w:hAnsi="Times New Roman"/>
                <w:b/>
                <w:bCs/>
                <w:i/>
                <w:iCs/>
                <w:sz w:val="24"/>
                <w:szCs w:val="24"/>
              </w:rPr>
              <w:t>FY2</w:t>
            </w:r>
            <w:r w:rsidR="00FF0C8E">
              <w:rPr>
                <w:rFonts w:ascii="Times New Roman" w:hAnsi="Times New Roman"/>
                <w:b/>
                <w:bCs/>
                <w:i/>
                <w:iCs/>
                <w:sz w:val="24"/>
                <w:szCs w:val="24"/>
              </w:rPr>
              <w:t>5</w:t>
            </w:r>
            <w:r w:rsidRPr="00F67BA3">
              <w:rPr>
                <w:rFonts w:ascii="Times New Roman" w:hAnsi="Times New Roman"/>
                <w:b/>
                <w:bCs/>
                <w:i/>
                <w:iCs/>
                <w:sz w:val="24"/>
                <w:szCs w:val="24"/>
              </w:rPr>
              <w:t xml:space="preserve"> Legislative Peer Limits for Tuition and Mandatory Fees</w:t>
            </w:r>
          </w:p>
        </w:tc>
      </w:tr>
      <w:tr w:rsidR="001C1A0E" w:rsidRPr="00F67BA3" w:rsidTr="00F67BA3">
        <w:trPr>
          <w:trHeight w:val="804"/>
        </w:trPr>
        <w:tc>
          <w:tcPr>
            <w:tcW w:w="48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sz w:val="20"/>
              </w:rPr>
            </w:pPr>
            <w:r w:rsidRPr="00F67BA3">
              <w:rPr>
                <w:rFonts w:ascii="Times New Roman" w:hAnsi="Times New Roman"/>
                <w:b/>
                <w:bCs/>
                <w:sz w:val="20"/>
              </w:rPr>
              <w:t>Professional Programs</w:t>
            </w:r>
          </w:p>
        </w:tc>
        <w:tc>
          <w:tcPr>
            <w:tcW w:w="2303" w:type="dxa"/>
            <w:tcBorders>
              <w:top w:val="single" w:sz="8" w:space="0" w:color="auto"/>
              <w:left w:val="nil"/>
              <w:bottom w:val="single" w:sz="8" w:space="0" w:color="auto"/>
              <w:right w:val="single" w:sz="4" w:space="0" w:color="auto"/>
            </w:tcBorders>
            <w:shd w:val="clear" w:color="auto" w:fill="auto"/>
            <w:vAlign w:val="center"/>
            <w:hideMark/>
          </w:tcPr>
          <w:p w:rsidR="001C1A0E" w:rsidRDefault="001C1A0E" w:rsidP="001C1A0E">
            <w:pPr>
              <w:jc w:val="center"/>
              <w:rPr>
                <w:rFonts w:ascii="Times New Roman" w:hAnsi="Times New Roman"/>
                <w:b/>
                <w:bCs/>
                <w:sz w:val="20"/>
              </w:rPr>
            </w:pPr>
            <w:r>
              <w:rPr>
                <w:b/>
                <w:bCs/>
                <w:sz w:val="20"/>
              </w:rPr>
              <w:t>FY2</w:t>
            </w:r>
            <w:r w:rsidR="00FF0C8E">
              <w:rPr>
                <w:b/>
                <w:bCs/>
                <w:sz w:val="20"/>
              </w:rPr>
              <w:t>5</w:t>
            </w:r>
            <w:r>
              <w:rPr>
                <w:b/>
                <w:bCs/>
                <w:sz w:val="20"/>
              </w:rPr>
              <w:t xml:space="preserve"> Peer Limit for Resident Tuition and Mandatory Fees</w:t>
            </w:r>
          </w:p>
        </w:tc>
        <w:tc>
          <w:tcPr>
            <w:tcW w:w="2391" w:type="dxa"/>
            <w:tcBorders>
              <w:top w:val="single" w:sz="8" w:space="0" w:color="auto"/>
              <w:left w:val="nil"/>
              <w:bottom w:val="single" w:sz="8" w:space="0" w:color="auto"/>
              <w:right w:val="single" w:sz="8" w:space="0" w:color="auto"/>
            </w:tcBorders>
            <w:shd w:val="clear" w:color="auto" w:fill="auto"/>
            <w:vAlign w:val="center"/>
            <w:hideMark/>
          </w:tcPr>
          <w:p w:rsidR="001C1A0E" w:rsidRDefault="001C1A0E" w:rsidP="001C1A0E">
            <w:pPr>
              <w:jc w:val="center"/>
              <w:rPr>
                <w:b/>
                <w:bCs/>
                <w:sz w:val="20"/>
              </w:rPr>
            </w:pPr>
            <w:r>
              <w:rPr>
                <w:b/>
                <w:bCs/>
                <w:sz w:val="20"/>
              </w:rPr>
              <w:t>FY2</w:t>
            </w:r>
            <w:r w:rsidR="00FF0C8E">
              <w:rPr>
                <w:b/>
                <w:bCs/>
                <w:sz w:val="20"/>
              </w:rPr>
              <w:t>5</w:t>
            </w:r>
            <w:r>
              <w:rPr>
                <w:b/>
                <w:bCs/>
                <w:sz w:val="20"/>
              </w:rPr>
              <w:t xml:space="preserve"> Peer Limit for Nonresident Tuition and Mandatory Fees</w:t>
            </w:r>
          </w:p>
        </w:tc>
      </w:tr>
      <w:tr w:rsidR="001C1A0E" w:rsidRPr="00F67BA3" w:rsidTr="00F67BA3">
        <w:trPr>
          <w:trHeight w:val="360"/>
        </w:trPr>
        <w:tc>
          <w:tcPr>
            <w:tcW w:w="4882" w:type="dxa"/>
            <w:tcBorders>
              <w:top w:val="single" w:sz="4" w:space="0" w:color="auto"/>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University of Oklahoma</w:t>
            </w:r>
          </w:p>
        </w:tc>
        <w:tc>
          <w:tcPr>
            <w:tcW w:w="2303" w:type="dxa"/>
            <w:tcBorders>
              <w:top w:val="single" w:sz="4" w:space="0" w:color="auto"/>
              <w:left w:val="nil"/>
              <w:bottom w:val="nil"/>
              <w:right w:val="single" w:sz="4" w:space="0" w:color="auto"/>
            </w:tcBorders>
            <w:shd w:val="clear" w:color="auto" w:fill="auto"/>
            <w:noWrap/>
            <w:vAlign w:val="bottom"/>
            <w:hideMark/>
          </w:tcPr>
          <w:p w:rsidR="001C1A0E" w:rsidRDefault="001C1A0E" w:rsidP="001C1A0E">
            <w:pPr>
              <w:jc w:val="left"/>
              <w:rPr>
                <w:rFonts w:ascii="Times New Roman" w:hAnsi="Times New Roman"/>
                <w:b/>
                <w:bCs/>
                <w:sz w:val="20"/>
              </w:rPr>
            </w:pPr>
            <w:r>
              <w:rPr>
                <w:b/>
                <w:bCs/>
                <w:sz w:val="20"/>
              </w:rPr>
              <w:t> </w:t>
            </w:r>
          </w:p>
        </w:tc>
        <w:tc>
          <w:tcPr>
            <w:tcW w:w="2391" w:type="dxa"/>
            <w:tcBorders>
              <w:top w:val="single" w:sz="4" w:space="0" w:color="auto"/>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College of Law</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$30,214</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$43,442</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OU Health Sciences Center</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Doctor of Medicine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$37,893</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$67,396</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Doctor of Dental Science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$41,912</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$75,626</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Physician's Associate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$21,370</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$37,318</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PharmD</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$25,401</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$43,542</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Occupational Therapy</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$18,951</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$34,670</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Physical Therapy -- Doctoral</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$18,408</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$35,623</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Doctor of Audiology</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$16,875</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$34,888</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Public Health</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$15,344</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$29,063</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Nursing -- Doctor of Nursing Practice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$16,442</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$30,707</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Master of Science in Nursing</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$15,075</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$29,493</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Oklahoma State University</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Center for Health Sciences</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$41,132</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$71,260</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College of Veterinary Medicine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$30,522</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$60,422</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Northeastern State University</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College of Optometry</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$34,051</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$46,456</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Northwestern Oklahoma State University</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Nursing -- Doctor of Nursing Practice</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$17,261</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$28,571</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Southwestern Oklahoma State University</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360"/>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Master of Science in Nursing</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$13,659</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$19,058</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PharmD</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b/>
                <w:bCs/>
                <w:sz w:val="20"/>
              </w:rPr>
            </w:pPr>
            <w:r>
              <w:rPr>
                <w:b/>
                <w:bCs/>
                <w:sz w:val="20"/>
              </w:rPr>
              <w:t>$25,676</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$39,406</w:t>
            </w:r>
          </w:p>
        </w:tc>
      </w:tr>
      <w:tr w:rsidR="001C1A0E" w:rsidRPr="00F67BA3" w:rsidTr="00F67BA3">
        <w:trPr>
          <w:trHeight w:val="360"/>
        </w:trPr>
        <w:tc>
          <w:tcPr>
            <w:tcW w:w="4882" w:type="dxa"/>
            <w:tcBorders>
              <w:top w:val="nil"/>
              <w:left w:val="single" w:sz="8" w:space="0" w:color="auto"/>
              <w:bottom w:val="nil"/>
              <w:right w:val="single" w:sz="4" w:space="0" w:color="auto"/>
            </w:tcBorders>
            <w:shd w:val="clear" w:color="auto" w:fill="auto"/>
            <w:noWrap/>
            <w:vAlign w:val="bottom"/>
            <w:hideMark/>
          </w:tcPr>
          <w:p w:rsidR="001C1A0E" w:rsidRPr="00F67BA3" w:rsidRDefault="001C1A0E" w:rsidP="001C1A0E">
            <w:pPr>
              <w:jc w:val="center"/>
              <w:rPr>
                <w:rFonts w:ascii="Times New Roman" w:hAnsi="Times New Roman"/>
                <w:b/>
                <w:bCs/>
                <w:i/>
                <w:iCs/>
                <w:sz w:val="20"/>
              </w:rPr>
            </w:pPr>
            <w:r w:rsidRPr="00F67BA3">
              <w:rPr>
                <w:rFonts w:ascii="Times New Roman" w:hAnsi="Times New Roman"/>
                <w:b/>
                <w:bCs/>
                <w:i/>
                <w:iCs/>
                <w:sz w:val="20"/>
              </w:rPr>
              <w:t>Langston University</w:t>
            </w:r>
          </w:p>
        </w:tc>
        <w:tc>
          <w:tcPr>
            <w:tcW w:w="2303" w:type="dxa"/>
            <w:tcBorders>
              <w:top w:val="nil"/>
              <w:left w:val="nil"/>
              <w:bottom w:val="nil"/>
              <w:right w:val="single" w:sz="4" w:space="0" w:color="auto"/>
            </w:tcBorders>
            <w:shd w:val="clear" w:color="auto" w:fill="auto"/>
            <w:noWrap/>
            <w:vAlign w:val="bottom"/>
            <w:hideMark/>
          </w:tcPr>
          <w:p w:rsidR="001C1A0E" w:rsidRDefault="001C1A0E" w:rsidP="001C1A0E">
            <w:pPr>
              <w:jc w:val="left"/>
              <w:rPr>
                <w:b/>
                <w:bCs/>
                <w:sz w:val="20"/>
              </w:rPr>
            </w:pPr>
            <w:r>
              <w:rPr>
                <w:b/>
                <w:bCs/>
                <w:sz w:val="20"/>
              </w:rPr>
              <w:t> </w:t>
            </w:r>
          </w:p>
        </w:tc>
        <w:tc>
          <w:tcPr>
            <w:tcW w:w="2391" w:type="dxa"/>
            <w:tcBorders>
              <w:top w:val="nil"/>
              <w:left w:val="nil"/>
              <w:bottom w:val="nil"/>
              <w:right w:val="single" w:sz="8" w:space="0" w:color="auto"/>
            </w:tcBorders>
            <w:shd w:val="clear" w:color="auto" w:fill="auto"/>
            <w:noWrap/>
            <w:vAlign w:val="bottom"/>
            <w:hideMark/>
          </w:tcPr>
          <w:p w:rsidR="001C1A0E" w:rsidRDefault="001C1A0E" w:rsidP="001C1A0E">
            <w:pPr>
              <w:rPr>
                <w:b/>
                <w:bCs/>
                <w:sz w:val="20"/>
              </w:rPr>
            </w:pPr>
            <w:r>
              <w:rPr>
                <w:b/>
                <w:bCs/>
                <w:sz w:val="20"/>
              </w:rPr>
              <w:t> </w:t>
            </w:r>
          </w:p>
        </w:tc>
      </w:tr>
      <w:tr w:rsidR="00FF0C8E" w:rsidRPr="00F67BA3" w:rsidTr="00F67BA3">
        <w:trPr>
          <w:trHeight w:val="288"/>
        </w:trPr>
        <w:tc>
          <w:tcPr>
            <w:tcW w:w="4882" w:type="dxa"/>
            <w:tcBorders>
              <w:top w:val="nil"/>
              <w:left w:val="single" w:sz="8" w:space="0" w:color="auto"/>
              <w:bottom w:val="single" w:sz="4" w:space="0" w:color="auto"/>
              <w:right w:val="single" w:sz="4" w:space="0" w:color="auto"/>
            </w:tcBorders>
            <w:shd w:val="clear" w:color="auto" w:fill="auto"/>
            <w:noWrap/>
            <w:vAlign w:val="bottom"/>
            <w:hideMark/>
          </w:tcPr>
          <w:p w:rsidR="00FF0C8E" w:rsidRPr="00F67BA3" w:rsidRDefault="00FF0C8E" w:rsidP="00FF0C8E">
            <w:pPr>
              <w:jc w:val="left"/>
              <w:rPr>
                <w:rFonts w:ascii="Times New Roman" w:hAnsi="Times New Roman"/>
                <w:b/>
                <w:bCs/>
                <w:sz w:val="20"/>
              </w:rPr>
            </w:pPr>
            <w:r w:rsidRPr="00F67BA3">
              <w:rPr>
                <w:rFonts w:ascii="Times New Roman" w:hAnsi="Times New Roman"/>
                <w:b/>
                <w:bCs/>
                <w:sz w:val="20"/>
              </w:rPr>
              <w:t>Physical Therapy -- Doctoral</w:t>
            </w:r>
          </w:p>
        </w:tc>
        <w:tc>
          <w:tcPr>
            <w:tcW w:w="2303" w:type="dxa"/>
            <w:tcBorders>
              <w:top w:val="nil"/>
              <w:left w:val="nil"/>
              <w:bottom w:val="single" w:sz="4" w:space="0" w:color="auto"/>
              <w:right w:val="single" w:sz="4" w:space="0" w:color="auto"/>
            </w:tcBorders>
            <w:shd w:val="clear" w:color="auto" w:fill="auto"/>
            <w:noWrap/>
            <w:vAlign w:val="bottom"/>
            <w:hideMark/>
          </w:tcPr>
          <w:p w:rsidR="00FF0C8E" w:rsidRDefault="00FF0C8E" w:rsidP="00FF0C8E">
            <w:pPr>
              <w:jc w:val="right"/>
              <w:rPr>
                <w:rFonts w:ascii="Times New Roman" w:hAnsi="Times New Roman"/>
                <w:b/>
                <w:bCs/>
                <w:sz w:val="20"/>
              </w:rPr>
            </w:pPr>
            <w:r>
              <w:rPr>
                <w:b/>
                <w:bCs/>
                <w:sz w:val="20"/>
              </w:rPr>
              <w:t>$18,408</w:t>
            </w:r>
          </w:p>
        </w:tc>
        <w:tc>
          <w:tcPr>
            <w:tcW w:w="2391" w:type="dxa"/>
            <w:tcBorders>
              <w:top w:val="nil"/>
              <w:left w:val="nil"/>
              <w:bottom w:val="single" w:sz="4" w:space="0" w:color="auto"/>
              <w:right w:val="single" w:sz="8" w:space="0" w:color="auto"/>
            </w:tcBorders>
            <w:shd w:val="clear" w:color="auto" w:fill="auto"/>
            <w:noWrap/>
            <w:vAlign w:val="bottom"/>
            <w:hideMark/>
          </w:tcPr>
          <w:p w:rsidR="00FF0C8E" w:rsidRDefault="00FF0C8E" w:rsidP="00FF0C8E">
            <w:pPr>
              <w:jc w:val="right"/>
              <w:rPr>
                <w:b/>
                <w:bCs/>
                <w:sz w:val="20"/>
              </w:rPr>
            </w:pPr>
            <w:r>
              <w:rPr>
                <w:b/>
                <w:bCs/>
                <w:sz w:val="20"/>
              </w:rPr>
              <w:t>$35,623</w:t>
            </w:r>
          </w:p>
        </w:tc>
      </w:tr>
      <w:tr w:rsidR="00F67BA3" w:rsidRPr="00F67BA3" w:rsidTr="00F67BA3">
        <w:trPr>
          <w:trHeight w:val="900"/>
        </w:trPr>
        <w:tc>
          <w:tcPr>
            <w:tcW w:w="957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7BA3" w:rsidRPr="00F67BA3" w:rsidRDefault="00F67BA3" w:rsidP="00F67BA3">
            <w:pPr>
              <w:jc w:val="center"/>
              <w:rPr>
                <w:rFonts w:ascii="Times New Roman" w:hAnsi="Times New Roman"/>
                <w:b/>
                <w:bCs/>
                <w:sz w:val="20"/>
              </w:rPr>
            </w:pPr>
            <w:r w:rsidRPr="00501209">
              <w:rPr>
                <w:rFonts w:ascii="Times New Roman" w:hAnsi="Times New Roman"/>
                <w:b/>
                <w:bCs/>
                <w:sz w:val="20"/>
              </w:rPr>
              <w:t>70 O.S., Section</w:t>
            </w:r>
            <w:r w:rsidRPr="00F67BA3">
              <w:rPr>
                <w:rFonts w:ascii="Times New Roman" w:hAnsi="Times New Roman"/>
                <w:b/>
                <w:bCs/>
                <w:sz w:val="20"/>
              </w:rPr>
              <w:t xml:space="preserve"> 3218.9, provides that the limits for professional program resident and nonresident tuition and mandatory fees shall be less than the average of resident and nonresident tuition and mandatory fees for like-type professional programs at public institutions.</w:t>
            </w:r>
          </w:p>
        </w:tc>
      </w:tr>
      <w:tr w:rsidR="00F67BA3" w:rsidRPr="00F67BA3" w:rsidTr="00F67BA3">
        <w:trPr>
          <w:trHeight w:val="615"/>
        </w:trPr>
        <w:tc>
          <w:tcPr>
            <w:tcW w:w="9576" w:type="dxa"/>
            <w:gridSpan w:val="3"/>
            <w:tcBorders>
              <w:top w:val="nil"/>
              <w:left w:val="single" w:sz="8" w:space="0" w:color="auto"/>
              <w:bottom w:val="nil"/>
              <w:right w:val="single" w:sz="8" w:space="0" w:color="000000"/>
            </w:tcBorders>
            <w:shd w:val="clear" w:color="auto" w:fill="auto"/>
            <w:vAlign w:val="center"/>
            <w:hideMark/>
          </w:tcPr>
          <w:p w:rsidR="00F67BA3" w:rsidRPr="00F67BA3" w:rsidRDefault="00F67BA3" w:rsidP="00F67BA3">
            <w:pPr>
              <w:jc w:val="center"/>
              <w:rPr>
                <w:rFonts w:ascii="Times New Roman" w:hAnsi="Times New Roman"/>
                <w:b/>
                <w:bCs/>
                <w:sz w:val="20"/>
              </w:rPr>
            </w:pPr>
            <w:r w:rsidRPr="00F67BA3">
              <w:rPr>
                <w:rFonts w:ascii="Times New Roman" w:hAnsi="Times New Roman"/>
                <w:b/>
                <w:bCs/>
                <w:sz w:val="20"/>
              </w:rPr>
              <w:t>At their meeting in June 202</w:t>
            </w:r>
            <w:r w:rsidR="00FF0C8E">
              <w:rPr>
                <w:rFonts w:ascii="Times New Roman" w:hAnsi="Times New Roman"/>
                <w:b/>
                <w:bCs/>
                <w:sz w:val="20"/>
              </w:rPr>
              <w:t>4</w:t>
            </w:r>
            <w:r w:rsidRPr="00F67BA3">
              <w:rPr>
                <w:rFonts w:ascii="Times New Roman" w:hAnsi="Times New Roman"/>
                <w:b/>
                <w:bCs/>
                <w:sz w:val="20"/>
              </w:rPr>
              <w:t>, State Regents will consider FY2</w:t>
            </w:r>
            <w:r w:rsidR="00FF0C8E">
              <w:rPr>
                <w:rFonts w:ascii="Times New Roman" w:hAnsi="Times New Roman"/>
                <w:b/>
                <w:bCs/>
                <w:sz w:val="20"/>
              </w:rPr>
              <w:t>5</w:t>
            </w:r>
            <w:r w:rsidRPr="00F67BA3">
              <w:rPr>
                <w:rFonts w:ascii="Times New Roman" w:hAnsi="Times New Roman"/>
                <w:b/>
                <w:bCs/>
                <w:sz w:val="20"/>
              </w:rPr>
              <w:t xml:space="preserve"> undergraduate and graduate tuition and mandatory fee requests from institutions which are within the legislative limits posted above.</w:t>
            </w:r>
          </w:p>
        </w:tc>
      </w:tr>
      <w:tr w:rsidR="00F67BA3" w:rsidRPr="00F67BA3" w:rsidTr="00F67BA3">
        <w:trPr>
          <w:trHeight w:val="300"/>
        </w:trPr>
        <w:tc>
          <w:tcPr>
            <w:tcW w:w="9576" w:type="dxa"/>
            <w:gridSpan w:val="3"/>
            <w:tcBorders>
              <w:top w:val="nil"/>
              <w:left w:val="single" w:sz="8" w:space="0" w:color="auto"/>
              <w:bottom w:val="single" w:sz="8" w:space="0" w:color="auto"/>
              <w:right w:val="single" w:sz="8" w:space="0" w:color="000000"/>
            </w:tcBorders>
            <w:shd w:val="clear" w:color="auto" w:fill="auto"/>
            <w:vAlign w:val="center"/>
            <w:hideMark/>
          </w:tcPr>
          <w:p w:rsidR="00F67BA3" w:rsidRPr="00F67BA3" w:rsidRDefault="00F67BA3" w:rsidP="00F67BA3">
            <w:pPr>
              <w:jc w:val="left"/>
              <w:rPr>
                <w:rFonts w:ascii="Times New Roman" w:hAnsi="Times New Roman"/>
                <w:sz w:val="16"/>
                <w:szCs w:val="16"/>
              </w:rPr>
            </w:pPr>
            <w:r w:rsidRPr="00F67BA3">
              <w:rPr>
                <w:rFonts w:ascii="Times New Roman" w:hAnsi="Times New Roman"/>
                <w:sz w:val="16"/>
                <w:szCs w:val="16"/>
              </w:rPr>
              <w:t> </w:t>
            </w:r>
          </w:p>
        </w:tc>
      </w:tr>
    </w:tbl>
    <w:p w:rsidR="00623028" w:rsidRDefault="00623028">
      <w:pPr>
        <w:jc w:val="left"/>
        <w:rPr>
          <w:rFonts w:ascii="Times New Roman" w:hAnsi="Times New Roman"/>
        </w:rPr>
      </w:pPr>
    </w:p>
    <w:p w:rsidR="00E41E9B" w:rsidRDefault="00E41E9B">
      <w:pPr>
        <w:jc w:val="left"/>
        <w:rPr>
          <w:rFonts w:ascii="Times New Roman" w:hAnsi="Times New Roman"/>
        </w:rPr>
      </w:pPr>
    </w:p>
    <w:p w:rsidR="00F67BA3" w:rsidRDefault="00F67BA3">
      <w:pPr>
        <w:jc w:val="left"/>
        <w:rPr>
          <w:rFonts w:ascii="Times New Roman" w:hAnsi="Times New Roman"/>
        </w:rPr>
      </w:pPr>
    </w:p>
    <w:p w:rsidR="00625573" w:rsidRPr="00EF5758" w:rsidRDefault="00625573" w:rsidP="00F158B5">
      <w:pPr>
        <w:pBdr>
          <w:top w:val="threeDEngrave" w:sz="24" w:space="0" w:color="auto"/>
          <w:left w:val="threeDEngrave" w:sz="24" w:space="0" w:color="auto"/>
          <w:bottom w:val="threeDEmboss" w:sz="24" w:space="0" w:color="auto"/>
          <w:right w:val="threeDEmboss" w:sz="24" w:space="0" w:color="auto"/>
        </w:pBdr>
        <w:spacing w:before="240" w:after="60"/>
        <w:jc w:val="center"/>
        <w:outlineLvl w:val="7"/>
        <w:rPr>
          <w:rFonts w:ascii="Times New Roman" w:hAnsi="Times New Roman"/>
          <w:b/>
          <w:sz w:val="36"/>
        </w:rPr>
      </w:pPr>
      <w:bookmarkStart w:id="2" w:name="_Hlk159413449"/>
      <w:r w:rsidRPr="00EF5758">
        <w:rPr>
          <w:rFonts w:ascii="Times New Roman" w:hAnsi="Times New Roman"/>
          <w:b/>
          <w:iCs/>
          <w:sz w:val="40"/>
          <w:szCs w:val="40"/>
        </w:rPr>
        <w:lastRenderedPageBreak/>
        <w:t>PUBLIC HEARING NOTICE</w:t>
      </w:r>
    </w:p>
    <w:p w:rsidR="00625573" w:rsidRPr="00EF5758" w:rsidRDefault="00625573" w:rsidP="00625573">
      <w:pPr>
        <w:pBdr>
          <w:top w:val="threeDEngrave" w:sz="24" w:space="0" w:color="auto"/>
          <w:left w:val="threeDEngrave" w:sz="24" w:space="0" w:color="auto"/>
          <w:bottom w:val="threeDEmboss" w:sz="24" w:space="0" w:color="auto"/>
          <w:right w:val="threeDEmboss" w:sz="24" w:space="0" w:color="auto"/>
        </w:pBdr>
        <w:jc w:val="center"/>
        <w:rPr>
          <w:rFonts w:ascii="Times New Roman" w:hAnsi="Times New Roman"/>
          <w:b/>
          <w:sz w:val="32"/>
          <w:szCs w:val="32"/>
        </w:rPr>
      </w:pPr>
      <w:r w:rsidRPr="00EF5758">
        <w:rPr>
          <w:rFonts w:ascii="Times New Roman" w:hAnsi="Times New Roman"/>
          <w:b/>
          <w:sz w:val="32"/>
          <w:szCs w:val="32"/>
        </w:rPr>
        <w:t>TUITION PEER LIMITS AND ACADEMIC SERVICES FEES</w:t>
      </w:r>
    </w:p>
    <w:p w:rsidR="00625573" w:rsidRPr="00EF5758" w:rsidRDefault="00625573" w:rsidP="00625573">
      <w:pPr>
        <w:pBdr>
          <w:top w:val="threeDEngrave" w:sz="24" w:space="0" w:color="auto"/>
          <w:left w:val="threeDEngrave" w:sz="24" w:space="0" w:color="auto"/>
          <w:bottom w:val="threeDEmboss" w:sz="24" w:space="0" w:color="auto"/>
          <w:right w:val="threeDEmboss" w:sz="24" w:space="0" w:color="auto"/>
        </w:pBdr>
        <w:jc w:val="center"/>
        <w:rPr>
          <w:rFonts w:ascii="Times New Roman" w:hAnsi="Times New Roman"/>
          <w:sz w:val="32"/>
          <w:szCs w:val="32"/>
        </w:rPr>
      </w:pPr>
      <w:r w:rsidRPr="00EF5758">
        <w:rPr>
          <w:rFonts w:ascii="Times New Roman" w:hAnsi="Times New Roman"/>
          <w:b/>
          <w:sz w:val="32"/>
          <w:szCs w:val="32"/>
        </w:rPr>
        <w:t>Effective Academic Year 20</w:t>
      </w:r>
      <w:r w:rsidR="007F7A23" w:rsidRPr="00EF5758">
        <w:rPr>
          <w:rFonts w:ascii="Times New Roman" w:hAnsi="Times New Roman"/>
          <w:b/>
          <w:sz w:val="32"/>
          <w:szCs w:val="32"/>
        </w:rPr>
        <w:t>2</w:t>
      </w:r>
      <w:r w:rsidR="00EF5758" w:rsidRPr="00EF5758">
        <w:rPr>
          <w:rFonts w:ascii="Times New Roman" w:hAnsi="Times New Roman"/>
          <w:b/>
          <w:sz w:val="32"/>
          <w:szCs w:val="32"/>
        </w:rPr>
        <w:t>4</w:t>
      </w:r>
      <w:r w:rsidRPr="00EF5758">
        <w:rPr>
          <w:rFonts w:ascii="Times New Roman" w:hAnsi="Times New Roman"/>
          <w:b/>
          <w:sz w:val="32"/>
          <w:szCs w:val="32"/>
        </w:rPr>
        <w:t>-202</w:t>
      </w:r>
      <w:r w:rsidR="00EF5758" w:rsidRPr="00EF5758">
        <w:rPr>
          <w:rFonts w:ascii="Times New Roman" w:hAnsi="Times New Roman"/>
          <w:b/>
          <w:sz w:val="32"/>
          <w:szCs w:val="32"/>
        </w:rPr>
        <w:t>5</w:t>
      </w:r>
    </w:p>
    <w:p w:rsidR="00EF5758" w:rsidRDefault="00EF5758" w:rsidP="00EF5758">
      <w:pPr>
        <w:rPr>
          <w:rFonts w:ascii="Times New Roman" w:hAnsi="Times New Roman"/>
          <w:sz w:val="24"/>
        </w:rPr>
      </w:pPr>
    </w:p>
    <w:p w:rsidR="00EF5758" w:rsidRPr="004933BB" w:rsidRDefault="00F158B5" w:rsidP="004933BB">
      <w:pPr>
        <w:contextualSpacing/>
        <w:rPr>
          <w:rFonts w:ascii="Times New Roman" w:hAnsi="Times New Roman"/>
          <w:szCs w:val="22"/>
        </w:rPr>
      </w:pPr>
      <w:r w:rsidRPr="004933BB">
        <w:rPr>
          <w:rFonts w:ascii="Times New Roman" w:hAnsi="Times New Roman"/>
          <w:szCs w:val="22"/>
        </w:rPr>
        <w:t xml:space="preserve">The Oklahoma State Regents for Higher Education will conduct a public hearing </w:t>
      </w:r>
      <w:r w:rsidR="00EF5758" w:rsidRPr="004933BB">
        <w:rPr>
          <w:rFonts w:ascii="Times New Roman" w:hAnsi="Times New Roman"/>
          <w:szCs w:val="22"/>
        </w:rPr>
        <w:t>on Thursday, April 25</w:t>
      </w:r>
      <w:r w:rsidR="004933BB">
        <w:rPr>
          <w:rFonts w:ascii="Times New Roman" w:hAnsi="Times New Roman"/>
          <w:szCs w:val="22"/>
        </w:rPr>
        <w:t>, 2024,</w:t>
      </w:r>
      <w:r w:rsidR="00EF5758" w:rsidRPr="004933BB">
        <w:rPr>
          <w:rFonts w:ascii="Times New Roman" w:hAnsi="Times New Roman"/>
          <w:szCs w:val="22"/>
        </w:rPr>
        <w:t xml:space="preserve"> at 9:00 a.m. </w:t>
      </w:r>
      <w:r w:rsidRPr="004933BB">
        <w:rPr>
          <w:rFonts w:ascii="Times New Roman" w:hAnsi="Times New Roman"/>
          <w:szCs w:val="22"/>
        </w:rPr>
        <w:t xml:space="preserve">for the purpose of receiving views and comments on the subject of tuition peer limits and academic services fees charged students as a condition for enrollment at institutions in The Oklahoma State System of Higher Education. The hearing will be held </w:t>
      </w:r>
      <w:r w:rsidR="001507C8" w:rsidRPr="004933BB">
        <w:rPr>
          <w:rFonts w:ascii="Times New Roman" w:hAnsi="Times New Roman"/>
          <w:szCs w:val="22"/>
        </w:rPr>
        <w:t xml:space="preserve">at </w:t>
      </w:r>
      <w:r w:rsidR="00EF5758" w:rsidRPr="004933BB">
        <w:rPr>
          <w:rFonts w:ascii="Times New Roman" w:hAnsi="Times New Roman"/>
          <w:szCs w:val="22"/>
        </w:rPr>
        <w:t>Southeastern Oklahoma State University</w:t>
      </w:r>
      <w:r w:rsidR="001507C8" w:rsidRPr="004933BB">
        <w:rPr>
          <w:rFonts w:ascii="Times New Roman" w:hAnsi="Times New Roman"/>
          <w:szCs w:val="22"/>
        </w:rPr>
        <w:t xml:space="preserve"> in </w:t>
      </w:r>
      <w:r w:rsidR="00EF5758" w:rsidRPr="004933BB">
        <w:rPr>
          <w:rFonts w:ascii="Times New Roman" w:hAnsi="Times New Roman"/>
          <w:szCs w:val="22"/>
        </w:rPr>
        <w:t>Durant with the option to participate remotely via Zoom</w:t>
      </w:r>
      <w:r w:rsidR="001507C8" w:rsidRPr="004933BB">
        <w:rPr>
          <w:rFonts w:ascii="Times New Roman" w:hAnsi="Times New Roman"/>
          <w:szCs w:val="22"/>
        </w:rPr>
        <w:t>.</w:t>
      </w:r>
      <w:r w:rsidRPr="004933BB">
        <w:rPr>
          <w:rFonts w:ascii="Times New Roman" w:hAnsi="Times New Roman"/>
          <w:szCs w:val="22"/>
        </w:rPr>
        <w:t xml:space="preserve"> </w:t>
      </w:r>
    </w:p>
    <w:p w:rsidR="004933BB" w:rsidRPr="004933BB" w:rsidRDefault="004933BB" w:rsidP="004933BB">
      <w:pPr>
        <w:contextualSpacing/>
        <w:rPr>
          <w:rFonts w:ascii="Times New Roman" w:hAnsi="Times New Roman"/>
          <w:szCs w:val="22"/>
        </w:rPr>
      </w:pPr>
    </w:p>
    <w:p w:rsidR="004933BB" w:rsidRPr="004933BB" w:rsidRDefault="004933BB" w:rsidP="004933BB">
      <w:pPr>
        <w:contextualSpacing/>
        <w:rPr>
          <w:rFonts w:ascii="Times New Roman" w:hAnsi="Times New Roman"/>
          <w:szCs w:val="22"/>
        </w:rPr>
      </w:pPr>
      <w:r w:rsidRPr="004933BB">
        <w:rPr>
          <w:rFonts w:ascii="Times New Roman" w:hAnsi="Times New Roman"/>
          <w:szCs w:val="22"/>
        </w:rPr>
        <w:t>The following will be presented for comment</w:t>
      </w:r>
      <w:r>
        <w:rPr>
          <w:rFonts w:ascii="Times New Roman" w:hAnsi="Times New Roman"/>
          <w:szCs w:val="22"/>
        </w:rPr>
        <w:t xml:space="preserve"> during the public hearing</w:t>
      </w:r>
      <w:r w:rsidRPr="004933BB">
        <w:rPr>
          <w:rFonts w:ascii="Times New Roman" w:hAnsi="Times New Roman"/>
          <w:szCs w:val="22"/>
        </w:rPr>
        <w:t>:</w:t>
      </w:r>
    </w:p>
    <w:p w:rsidR="004933BB" w:rsidRPr="004933BB" w:rsidRDefault="004933BB" w:rsidP="004933BB">
      <w:pPr>
        <w:numPr>
          <w:ilvl w:val="0"/>
          <w:numId w:val="12"/>
        </w:numPr>
        <w:contextualSpacing/>
        <w:rPr>
          <w:rFonts w:ascii="Times New Roman" w:hAnsi="Times New Roman"/>
          <w:szCs w:val="22"/>
        </w:rPr>
      </w:pPr>
      <w:r w:rsidRPr="004933BB">
        <w:rPr>
          <w:rFonts w:ascii="Times New Roman" w:hAnsi="Times New Roman"/>
          <w:szCs w:val="22"/>
        </w:rPr>
        <w:t>Tuition and mandatory fee limits for undergraduate and graduate programs;</w:t>
      </w:r>
    </w:p>
    <w:p w:rsidR="004933BB" w:rsidRPr="004933BB" w:rsidRDefault="004933BB" w:rsidP="004933BB">
      <w:pPr>
        <w:numPr>
          <w:ilvl w:val="0"/>
          <w:numId w:val="12"/>
        </w:numPr>
        <w:contextualSpacing/>
        <w:rPr>
          <w:rFonts w:ascii="Times New Roman" w:hAnsi="Times New Roman"/>
          <w:szCs w:val="22"/>
        </w:rPr>
      </w:pPr>
      <w:r w:rsidRPr="004933BB">
        <w:rPr>
          <w:rFonts w:ascii="Times New Roman" w:hAnsi="Times New Roman"/>
          <w:szCs w:val="22"/>
        </w:rPr>
        <w:t>Tuition and mandatory fee limits for professional programs;</w:t>
      </w:r>
      <w:r>
        <w:rPr>
          <w:rFonts w:ascii="Times New Roman" w:hAnsi="Times New Roman"/>
          <w:szCs w:val="22"/>
        </w:rPr>
        <w:t xml:space="preserve"> and</w:t>
      </w:r>
    </w:p>
    <w:p w:rsidR="004933BB" w:rsidRDefault="004933BB" w:rsidP="004933BB">
      <w:pPr>
        <w:numPr>
          <w:ilvl w:val="0"/>
          <w:numId w:val="12"/>
        </w:numPr>
        <w:contextualSpacing/>
        <w:rPr>
          <w:rFonts w:ascii="Times New Roman" w:hAnsi="Times New Roman"/>
          <w:szCs w:val="22"/>
        </w:rPr>
      </w:pPr>
      <w:r w:rsidRPr="004933BB">
        <w:rPr>
          <w:rFonts w:ascii="Times New Roman" w:hAnsi="Times New Roman"/>
          <w:szCs w:val="22"/>
        </w:rPr>
        <w:t xml:space="preserve">Academic Service Fee proposals. </w:t>
      </w:r>
    </w:p>
    <w:p w:rsidR="004933BB" w:rsidRPr="004933BB" w:rsidRDefault="004933BB" w:rsidP="004933BB">
      <w:pPr>
        <w:ind w:left="720"/>
        <w:contextualSpacing/>
        <w:rPr>
          <w:rFonts w:ascii="Times New Roman" w:hAnsi="Times New Roman"/>
          <w:szCs w:val="22"/>
        </w:rPr>
      </w:pPr>
    </w:p>
    <w:p w:rsidR="004933BB" w:rsidRDefault="004933BB" w:rsidP="004933BB">
      <w:pPr>
        <w:contextualSpacing/>
        <w:rPr>
          <w:rFonts w:ascii="Times New Roman" w:hAnsi="Times New Roman"/>
          <w:szCs w:val="22"/>
        </w:rPr>
      </w:pPr>
      <w:r w:rsidRPr="004933BB">
        <w:rPr>
          <w:rFonts w:ascii="Times New Roman" w:hAnsi="Times New Roman"/>
          <w:szCs w:val="22"/>
        </w:rPr>
        <w:t>Those desiring to be heard should notify the Chancellor’s Office of the State Regents by 5:00 p.m. on Friday, April 1</w:t>
      </w:r>
      <w:r>
        <w:rPr>
          <w:rFonts w:ascii="Times New Roman" w:hAnsi="Times New Roman"/>
          <w:szCs w:val="22"/>
        </w:rPr>
        <w:t>9</w:t>
      </w:r>
      <w:r w:rsidRPr="004933BB">
        <w:rPr>
          <w:rFonts w:ascii="Times New Roman" w:hAnsi="Times New Roman"/>
          <w:szCs w:val="22"/>
        </w:rPr>
        <w:t>, 202</w:t>
      </w:r>
      <w:r>
        <w:rPr>
          <w:rFonts w:ascii="Times New Roman" w:hAnsi="Times New Roman"/>
          <w:szCs w:val="22"/>
        </w:rPr>
        <w:t>4,</w:t>
      </w:r>
      <w:r w:rsidRPr="004933BB">
        <w:rPr>
          <w:rFonts w:ascii="Times New Roman" w:hAnsi="Times New Roman"/>
          <w:szCs w:val="22"/>
        </w:rPr>
        <w:t xml:space="preserve"> </w:t>
      </w:r>
      <w:r>
        <w:rPr>
          <w:rFonts w:ascii="Times New Roman" w:hAnsi="Times New Roman"/>
          <w:szCs w:val="22"/>
        </w:rPr>
        <w:t xml:space="preserve">by e-mail at </w:t>
      </w:r>
      <w:hyperlink r:id="rId6" w:history="1">
        <w:r w:rsidRPr="000A060A">
          <w:rPr>
            <w:rStyle w:val="Hyperlink"/>
            <w:rFonts w:ascii="Times New Roman" w:hAnsi="Times New Roman"/>
            <w:szCs w:val="22"/>
          </w:rPr>
          <w:t>jjackson@osrhe.edu</w:t>
        </w:r>
      </w:hyperlink>
      <w:r>
        <w:rPr>
          <w:rFonts w:ascii="Times New Roman" w:hAnsi="Times New Roman"/>
          <w:szCs w:val="22"/>
        </w:rPr>
        <w:t xml:space="preserve"> or by phone at (405) 225-9116.</w:t>
      </w:r>
    </w:p>
    <w:p w:rsidR="004933BB" w:rsidRDefault="004933BB" w:rsidP="004933BB">
      <w:pPr>
        <w:contextualSpacing/>
        <w:rPr>
          <w:rFonts w:ascii="Times New Roman" w:hAnsi="Times New Roman"/>
          <w:szCs w:val="22"/>
        </w:rPr>
      </w:pPr>
    </w:p>
    <w:p w:rsidR="00F158B5" w:rsidRDefault="00F158B5" w:rsidP="004933BB">
      <w:pPr>
        <w:contextualSpacing/>
        <w:rPr>
          <w:rFonts w:ascii="Times New Roman" w:hAnsi="Times New Roman"/>
          <w:sz w:val="24"/>
        </w:rPr>
      </w:pPr>
      <w:r w:rsidRPr="001507C8">
        <w:rPr>
          <w:rFonts w:ascii="Times New Roman" w:hAnsi="Times New Roman"/>
          <w:sz w:val="24"/>
        </w:rPr>
        <w:t xml:space="preserve">Instructions to connect to the </w:t>
      </w:r>
      <w:r w:rsidR="004933BB">
        <w:rPr>
          <w:rFonts w:ascii="Times New Roman" w:hAnsi="Times New Roman"/>
          <w:sz w:val="24"/>
        </w:rPr>
        <w:t>public hearing via Zoom are listed below</w:t>
      </w:r>
      <w:r w:rsidRPr="001507C8">
        <w:rPr>
          <w:rFonts w:ascii="Times New Roman" w:hAnsi="Times New Roman"/>
          <w:sz w:val="24"/>
        </w:rPr>
        <w:t>:</w:t>
      </w:r>
    </w:p>
    <w:p w:rsidR="004933BB" w:rsidRPr="004933BB" w:rsidRDefault="004933BB" w:rsidP="004933BB">
      <w:pPr>
        <w:contextualSpacing/>
        <w:rPr>
          <w:rFonts w:ascii="Times New Roman" w:hAnsi="Times New Roman"/>
          <w:b/>
          <w:bCs/>
          <w:szCs w:val="22"/>
        </w:rPr>
      </w:pPr>
    </w:p>
    <w:p w:rsidR="00F158B5" w:rsidRPr="004933BB" w:rsidRDefault="00F158B5" w:rsidP="004933BB">
      <w:pPr>
        <w:contextualSpacing/>
        <w:rPr>
          <w:rFonts w:ascii="Times New Roman" w:hAnsi="Times New Roman"/>
          <w:b/>
          <w:bCs/>
          <w:szCs w:val="22"/>
        </w:rPr>
      </w:pPr>
      <w:r w:rsidRPr="004933BB">
        <w:rPr>
          <w:rFonts w:ascii="Times New Roman" w:hAnsi="Times New Roman"/>
          <w:b/>
          <w:bCs/>
          <w:szCs w:val="22"/>
        </w:rPr>
        <w:t xml:space="preserve">Topic: </w:t>
      </w:r>
      <w:proofErr w:type="spellStart"/>
      <w:r w:rsidR="004933BB" w:rsidRPr="004933BB">
        <w:rPr>
          <w:rFonts w:ascii="Times New Roman" w:hAnsi="Times New Roman"/>
          <w:b/>
          <w:bCs/>
          <w:szCs w:val="22"/>
        </w:rPr>
        <w:t>OSRHE</w:t>
      </w:r>
      <w:proofErr w:type="spellEnd"/>
      <w:r w:rsidR="004933BB" w:rsidRPr="004933BB">
        <w:rPr>
          <w:rFonts w:ascii="Times New Roman" w:hAnsi="Times New Roman"/>
          <w:b/>
          <w:bCs/>
          <w:szCs w:val="22"/>
        </w:rPr>
        <w:t xml:space="preserve"> Annual Public Hearing on Tuition and Fees for Academic Year 2024-25</w:t>
      </w:r>
    </w:p>
    <w:p w:rsidR="00F158B5" w:rsidRPr="004933BB" w:rsidRDefault="00F158B5" w:rsidP="004933BB">
      <w:pPr>
        <w:contextualSpacing/>
        <w:rPr>
          <w:rFonts w:ascii="Times New Roman" w:hAnsi="Times New Roman"/>
          <w:szCs w:val="22"/>
        </w:rPr>
      </w:pPr>
      <w:r w:rsidRPr="004933BB">
        <w:rPr>
          <w:rFonts w:ascii="Times New Roman" w:hAnsi="Times New Roman"/>
          <w:szCs w:val="22"/>
        </w:rPr>
        <w:t xml:space="preserve">When: </w:t>
      </w:r>
      <w:r w:rsidR="004933BB" w:rsidRPr="004933BB">
        <w:rPr>
          <w:rFonts w:ascii="Times New Roman" w:hAnsi="Times New Roman"/>
          <w:szCs w:val="22"/>
        </w:rPr>
        <w:t>April 25, 2024</w:t>
      </w:r>
      <w:r w:rsidRPr="004933BB">
        <w:rPr>
          <w:rFonts w:ascii="Times New Roman" w:hAnsi="Times New Roman"/>
          <w:szCs w:val="22"/>
        </w:rPr>
        <w:t>, 9</w:t>
      </w:r>
      <w:r w:rsidR="004933BB" w:rsidRPr="004933BB">
        <w:rPr>
          <w:rFonts w:ascii="Times New Roman" w:hAnsi="Times New Roman"/>
          <w:szCs w:val="22"/>
        </w:rPr>
        <w:t xml:space="preserve">:00 </w:t>
      </w:r>
      <w:r w:rsidRPr="004933BB">
        <w:rPr>
          <w:rFonts w:ascii="Times New Roman" w:hAnsi="Times New Roman"/>
          <w:szCs w:val="22"/>
        </w:rPr>
        <w:t>a.m. Central Time (U.S. and Canada)</w:t>
      </w:r>
    </w:p>
    <w:p w:rsidR="004933BB" w:rsidRPr="004933BB" w:rsidRDefault="004933BB" w:rsidP="004933BB">
      <w:pPr>
        <w:pStyle w:val="PlainText"/>
        <w:contextualSpacing/>
        <w:rPr>
          <w:rFonts w:ascii="Times New Roman" w:hAnsi="Times New Roman" w:cs="Times New Roman"/>
        </w:rPr>
      </w:pPr>
      <w:hyperlink r:id="rId7" w:history="1">
        <w:r w:rsidRPr="004933BB">
          <w:rPr>
            <w:rStyle w:val="Hyperlink"/>
            <w:rFonts w:ascii="Times New Roman" w:hAnsi="Times New Roman" w:cs="Times New Roman"/>
          </w:rPr>
          <w:t>https://onenet.zoom.us/j/93193448170?pwd=cnl5Y2dVYWxaOERGdUxMUTErcVJtdz09</w:t>
        </w:r>
      </w:hyperlink>
    </w:p>
    <w:p w:rsidR="004933BB" w:rsidRPr="004933BB" w:rsidRDefault="004933BB" w:rsidP="004933BB">
      <w:pPr>
        <w:pStyle w:val="PlainText"/>
        <w:contextualSpacing/>
        <w:rPr>
          <w:rFonts w:ascii="Times New Roman" w:hAnsi="Times New Roman" w:cs="Times New Roman"/>
        </w:rPr>
      </w:pPr>
    </w:p>
    <w:p w:rsidR="004933BB" w:rsidRPr="004933BB" w:rsidRDefault="004933BB" w:rsidP="004933BB">
      <w:pPr>
        <w:pStyle w:val="PlainText"/>
        <w:contextualSpacing/>
        <w:rPr>
          <w:rFonts w:ascii="Times New Roman" w:hAnsi="Times New Roman" w:cs="Times New Roman"/>
        </w:rPr>
      </w:pPr>
      <w:r w:rsidRPr="004933BB">
        <w:rPr>
          <w:rFonts w:ascii="Times New Roman" w:hAnsi="Times New Roman" w:cs="Times New Roman"/>
        </w:rPr>
        <w:t>Meeting ID: 931 9344 8170</w:t>
      </w:r>
    </w:p>
    <w:p w:rsidR="004933BB" w:rsidRPr="004933BB" w:rsidRDefault="004933BB" w:rsidP="004933BB">
      <w:pPr>
        <w:pStyle w:val="PlainText"/>
        <w:contextualSpacing/>
        <w:rPr>
          <w:rFonts w:ascii="Times New Roman" w:hAnsi="Times New Roman" w:cs="Times New Roman"/>
        </w:rPr>
      </w:pPr>
      <w:r w:rsidRPr="004933BB">
        <w:rPr>
          <w:rFonts w:ascii="Times New Roman" w:hAnsi="Times New Roman" w:cs="Times New Roman"/>
        </w:rPr>
        <w:t>Passcode: 015158</w:t>
      </w:r>
    </w:p>
    <w:p w:rsidR="004933BB" w:rsidRPr="004933BB" w:rsidRDefault="004933BB" w:rsidP="004933BB">
      <w:pPr>
        <w:pStyle w:val="PlainText"/>
        <w:contextualSpacing/>
        <w:rPr>
          <w:rFonts w:ascii="Times New Roman" w:hAnsi="Times New Roman" w:cs="Times New Roman"/>
        </w:rPr>
      </w:pPr>
    </w:p>
    <w:p w:rsidR="004933BB" w:rsidRPr="004933BB" w:rsidRDefault="004933BB" w:rsidP="004933BB">
      <w:pPr>
        <w:pStyle w:val="PlainText"/>
        <w:contextualSpacing/>
        <w:rPr>
          <w:rFonts w:ascii="Times New Roman" w:hAnsi="Times New Roman" w:cs="Times New Roman"/>
        </w:rPr>
      </w:pPr>
      <w:r w:rsidRPr="004933BB">
        <w:rPr>
          <w:rFonts w:ascii="Times New Roman" w:hAnsi="Times New Roman" w:cs="Times New Roman"/>
        </w:rPr>
        <w:t>One tap mobile</w:t>
      </w:r>
    </w:p>
    <w:p w:rsidR="004933BB" w:rsidRPr="004933BB" w:rsidRDefault="004933BB" w:rsidP="004933BB">
      <w:pPr>
        <w:pStyle w:val="PlainText"/>
        <w:contextualSpacing/>
        <w:rPr>
          <w:rFonts w:ascii="Times New Roman" w:hAnsi="Times New Roman" w:cs="Times New Roman"/>
        </w:rPr>
      </w:pPr>
      <w:r w:rsidRPr="004933BB">
        <w:rPr>
          <w:rFonts w:ascii="Times New Roman" w:hAnsi="Times New Roman" w:cs="Times New Roman"/>
        </w:rPr>
        <w:t>+</w:t>
      </w:r>
      <w:proofErr w:type="gramStart"/>
      <w:r w:rsidRPr="004933BB">
        <w:rPr>
          <w:rFonts w:ascii="Times New Roman" w:hAnsi="Times New Roman" w:cs="Times New Roman"/>
        </w:rPr>
        <w:t>13462487799,,</w:t>
      </w:r>
      <w:proofErr w:type="gramEnd"/>
      <w:r w:rsidRPr="004933BB">
        <w:rPr>
          <w:rFonts w:ascii="Times New Roman" w:hAnsi="Times New Roman" w:cs="Times New Roman"/>
        </w:rPr>
        <w:t>93193448170# US (Houston)</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w:t>
      </w:r>
      <w:proofErr w:type="gramStart"/>
      <w:r w:rsidRPr="004933BB">
        <w:rPr>
          <w:rFonts w:ascii="Times New Roman" w:hAnsi="Times New Roman" w:cs="Times New Roman"/>
        </w:rPr>
        <w:t>16694449171,,</w:t>
      </w:r>
      <w:proofErr w:type="gramEnd"/>
      <w:r w:rsidRPr="004933BB">
        <w:rPr>
          <w:rFonts w:ascii="Times New Roman" w:hAnsi="Times New Roman" w:cs="Times New Roman"/>
        </w:rPr>
        <w:t>93193448170# US</w:t>
      </w:r>
    </w:p>
    <w:p w:rsidR="004933BB" w:rsidRPr="004933BB" w:rsidRDefault="004933BB" w:rsidP="004933BB">
      <w:pPr>
        <w:pStyle w:val="PlainText"/>
        <w:rPr>
          <w:rFonts w:ascii="Times New Roman" w:hAnsi="Times New Roman" w:cs="Times New Roman"/>
        </w:rPr>
      </w:pP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Dial by your location</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+1 346 248 7799 US (Houston)</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+1 669 444 9171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+1 669 900 6833 US (San Jose)</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+1 719 359 4580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+1 253 205 0468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+1 253 215 8782 US (Tacoma)</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+1 309 205 3325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+1 312 626 6799 US (Chicago)</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+1 360 209 5623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+1 386 347 5053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+1 507 473 4847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+1 564 217 2000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+1 646 558 8656 US (New York)</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+1 646 931 3860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+1 689 278 1000 US</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lastRenderedPageBreak/>
        <w:t>• +1 301 715 8592 US (Washington DC)</w:t>
      </w: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+1 305 224 1968 US</w:t>
      </w:r>
    </w:p>
    <w:p w:rsidR="004933BB" w:rsidRPr="004933BB" w:rsidRDefault="004933BB" w:rsidP="004933BB">
      <w:pPr>
        <w:pStyle w:val="PlainText"/>
        <w:rPr>
          <w:rFonts w:ascii="Times New Roman" w:hAnsi="Times New Roman" w:cs="Times New Roman"/>
        </w:rPr>
      </w:pP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Meeting ID: 931 9344 8170</w:t>
      </w:r>
    </w:p>
    <w:p w:rsidR="004933BB" w:rsidRPr="004933BB" w:rsidRDefault="004933BB" w:rsidP="004933BB">
      <w:pPr>
        <w:pStyle w:val="PlainText"/>
        <w:rPr>
          <w:rFonts w:ascii="Times New Roman" w:hAnsi="Times New Roman" w:cs="Times New Roman"/>
        </w:rPr>
      </w:pPr>
    </w:p>
    <w:p w:rsidR="004933BB" w:rsidRPr="004933BB" w:rsidRDefault="004933BB" w:rsidP="004933BB">
      <w:pPr>
        <w:pStyle w:val="PlainText"/>
        <w:rPr>
          <w:rFonts w:ascii="Times New Roman" w:hAnsi="Times New Roman" w:cs="Times New Roman"/>
        </w:rPr>
      </w:pPr>
      <w:r w:rsidRPr="004933BB">
        <w:rPr>
          <w:rFonts w:ascii="Times New Roman" w:hAnsi="Times New Roman" w:cs="Times New Roman"/>
        </w:rPr>
        <w:t xml:space="preserve">Find your local number: </w:t>
      </w:r>
      <w:hyperlink r:id="rId8" w:history="1">
        <w:r w:rsidRPr="004933BB">
          <w:rPr>
            <w:rStyle w:val="Hyperlink"/>
            <w:rFonts w:ascii="Times New Roman" w:hAnsi="Times New Roman" w:cs="Times New Roman"/>
          </w:rPr>
          <w:t>https://onenet.zoom.us/u/aXG2Cfz0i</w:t>
        </w:r>
      </w:hyperlink>
    </w:p>
    <w:p w:rsidR="004933BB" w:rsidRDefault="004933BB" w:rsidP="004933BB">
      <w:pPr>
        <w:pStyle w:val="PlainText"/>
      </w:pPr>
    </w:p>
    <w:p w:rsidR="00B327E3" w:rsidRDefault="00B327E3" w:rsidP="00B327E3">
      <w:pPr>
        <w:pStyle w:val="PlainText"/>
      </w:pPr>
    </w:p>
    <w:p w:rsidR="0031606F" w:rsidRDefault="0031606F" w:rsidP="00D14610">
      <w:pPr>
        <w:jc w:val="center"/>
        <w:rPr>
          <w:rFonts w:ascii="Times New Roman" w:hAnsi="Times New Roman"/>
        </w:rPr>
      </w:pPr>
    </w:p>
    <w:p w:rsidR="004933BB" w:rsidRDefault="004933BB" w:rsidP="00D14610">
      <w:pPr>
        <w:jc w:val="center"/>
        <w:rPr>
          <w:rFonts w:ascii="Times New Roman" w:hAnsi="Times New Roman"/>
        </w:rPr>
      </w:pPr>
    </w:p>
    <w:p w:rsidR="004933BB" w:rsidRDefault="004933BB" w:rsidP="00D14610">
      <w:pPr>
        <w:jc w:val="center"/>
        <w:rPr>
          <w:rFonts w:ascii="Times New Roman" w:hAnsi="Times New Roman"/>
        </w:rPr>
      </w:pPr>
    </w:p>
    <w:p w:rsidR="004933BB" w:rsidRDefault="004933BB" w:rsidP="00D14610">
      <w:pPr>
        <w:jc w:val="center"/>
        <w:rPr>
          <w:rFonts w:ascii="Times New Roman" w:hAnsi="Times New Roman"/>
        </w:rPr>
      </w:pPr>
    </w:p>
    <w:p w:rsidR="0031606F" w:rsidRPr="001A4D65" w:rsidRDefault="0025245E" w:rsidP="0025245E">
      <w:pPr>
        <w:jc w:val="center"/>
        <w:rPr>
          <w:rFonts w:ascii="Times New Roman" w:hAnsi="Times New Roman"/>
        </w:rPr>
      </w:pPr>
      <w:r w:rsidRPr="004116B1">
        <w:rPr>
          <w:rFonts w:ascii="Times New Roman" w:hAnsi="Times New Roman"/>
          <w:noProof/>
        </w:rPr>
        <w:drawing>
          <wp:inline distT="0" distB="0" distL="0" distR="0" wp14:anchorId="12F7E4B8" wp14:editId="4B0E1380">
            <wp:extent cx="1973580" cy="1462649"/>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3580" cy="1462649"/>
                    </a:xfrm>
                    <a:prstGeom prst="rect">
                      <a:avLst/>
                    </a:prstGeom>
                  </pic:spPr>
                </pic:pic>
              </a:graphicData>
            </a:graphic>
          </wp:inline>
        </w:drawing>
      </w:r>
      <w:bookmarkStart w:id="3" w:name="_GoBack"/>
      <w:bookmarkEnd w:id="2"/>
      <w:bookmarkEnd w:id="3"/>
    </w:p>
    <w:sectPr w:rsidR="0031606F" w:rsidRPr="001A4D65" w:rsidSect="006944E2">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7EC"/>
    <w:multiLevelType w:val="hybridMultilevel"/>
    <w:tmpl w:val="D866477A"/>
    <w:lvl w:ilvl="0" w:tplc="9CDA03A2">
      <w:start w:val="1"/>
      <w:numFmt w:val="upperLetter"/>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77E99"/>
    <w:multiLevelType w:val="singleLevel"/>
    <w:tmpl w:val="E9DE701A"/>
    <w:lvl w:ilvl="0">
      <w:start w:val="4"/>
      <w:numFmt w:val="lowerLetter"/>
      <w:lvlText w:val="%1."/>
      <w:lvlJc w:val="left"/>
      <w:pPr>
        <w:tabs>
          <w:tab w:val="num" w:pos="1446"/>
        </w:tabs>
        <w:ind w:left="1446" w:hanging="510"/>
      </w:pPr>
      <w:rPr>
        <w:rFonts w:hint="default"/>
      </w:rPr>
    </w:lvl>
  </w:abstractNum>
  <w:abstractNum w:abstractNumId="2" w15:restartNumberingAfterBreak="0">
    <w:nsid w:val="1F815E8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D177730"/>
    <w:multiLevelType w:val="singleLevel"/>
    <w:tmpl w:val="5EEE44F6"/>
    <w:lvl w:ilvl="0">
      <w:start w:val="1"/>
      <w:numFmt w:val="decimal"/>
      <w:lvlText w:val="%1."/>
      <w:lvlJc w:val="left"/>
      <w:pPr>
        <w:tabs>
          <w:tab w:val="num" w:pos="1800"/>
        </w:tabs>
        <w:ind w:left="1800" w:hanging="360"/>
      </w:pPr>
      <w:rPr>
        <w:rFonts w:hint="default"/>
      </w:rPr>
    </w:lvl>
  </w:abstractNum>
  <w:abstractNum w:abstractNumId="4" w15:restartNumberingAfterBreak="0">
    <w:nsid w:val="36A057E7"/>
    <w:multiLevelType w:val="singleLevel"/>
    <w:tmpl w:val="DF381538"/>
    <w:lvl w:ilvl="0">
      <w:start w:val="1"/>
      <w:numFmt w:val="decimal"/>
      <w:lvlText w:val="%1."/>
      <w:lvlJc w:val="left"/>
      <w:pPr>
        <w:tabs>
          <w:tab w:val="num" w:pos="1875"/>
        </w:tabs>
        <w:ind w:left="1875" w:hanging="435"/>
      </w:pPr>
      <w:rPr>
        <w:rFonts w:hint="default"/>
      </w:rPr>
    </w:lvl>
  </w:abstractNum>
  <w:abstractNum w:abstractNumId="5" w15:restartNumberingAfterBreak="0">
    <w:nsid w:val="3C3E696D"/>
    <w:multiLevelType w:val="hybridMultilevel"/>
    <w:tmpl w:val="1D6E59D6"/>
    <w:lvl w:ilvl="0" w:tplc="257C8AB6">
      <w:start w:val="1"/>
      <w:numFmt w:val="lowerLetter"/>
      <w:lvlText w:val="%1."/>
      <w:lvlJc w:val="left"/>
      <w:pPr>
        <w:tabs>
          <w:tab w:val="num" w:pos="1800"/>
        </w:tabs>
        <w:ind w:left="1800" w:hanging="360"/>
      </w:pPr>
      <w:rPr>
        <w:rFonts w:hint="default"/>
      </w:rPr>
    </w:lvl>
    <w:lvl w:ilvl="1" w:tplc="FAF8A916">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4DA1B77"/>
    <w:multiLevelType w:val="hybridMultilevel"/>
    <w:tmpl w:val="45DA1B32"/>
    <w:lvl w:ilvl="0" w:tplc="46022768">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842FF"/>
    <w:multiLevelType w:val="singleLevel"/>
    <w:tmpl w:val="5172F1B6"/>
    <w:lvl w:ilvl="0">
      <w:start w:val="1"/>
      <w:numFmt w:val="decimal"/>
      <w:lvlText w:val="%1."/>
      <w:lvlJc w:val="left"/>
      <w:pPr>
        <w:tabs>
          <w:tab w:val="num" w:pos="360"/>
        </w:tabs>
        <w:ind w:left="360" w:hanging="360"/>
      </w:pPr>
      <w:rPr>
        <w:b w:val="0"/>
        <w:i w:val="0"/>
      </w:rPr>
    </w:lvl>
  </w:abstractNum>
  <w:abstractNum w:abstractNumId="8" w15:restartNumberingAfterBreak="0">
    <w:nsid w:val="463A73F1"/>
    <w:multiLevelType w:val="hybridMultilevel"/>
    <w:tmpl w:val="8F8E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8B6317"/>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5DB94B3B"/>
    <w:multiLevelType w:val="hybridMultilevel"/>
    <w:tmpl w:val="195094AC"/>
    <w:lvl w:ilvl="0" w:tplc="04090015">
      <w:start w:val="2"/>
      <w:numFmt w:val="upperLetter"/>
      <w:lvlText w:val="%1."/>
      <w:lvlJc w:val="left"/>
      <w:pPr>
        <w:tabs>
          <w:tab w:val="num" w:pos="720"/>
        </w:tabs>
        <w:ind w:left="720" w:hanging="360"/>
      </w:pPr>
      <w:rPr>
        <w:rFonts w:hint="default"/>
      </w:rPr>
    </w:lvl>
    <w:lvl w:ilvl="1" w:tplc="C6263516">
      <w:start w:val="1"/>
      <w:numFmt w:val="decimal"/>
      <w:lvlText w:val="%2."/>
      <w:lvlJc w:val="left"/>
      <w:pPr>
        <w:tabs>
          <w:tab w:val="num" w:pos="1440"/>
        </w:tabs>
        <w:ind w:left="1440" w:hanging="360"/>
      </w:pPr>
      <w:rPr>
        <w:rFonts w:hint="default"/>
      </w:rPr>
    </w:lvl>
    <w:lvl w:ilvl="2" w:tplc="11B4A8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B2601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7222171"/>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1"/>
  </w:num>
  <w:num w:numId="4">
    <w:abstractNumId w:val="2"/>
  </w:num>
  <w:num w:numId="5">
    <w:abstractNumId w:val="12"/>
  </w:num>
  <w:num w:numId="6">
    <w:abstractNumId w:val="7"/>
  </w:num>
  <w:num w:numId="7">
    <w:abstractNumId w:val="1"/>
  </w:num>
  <w:num w:numId="8">
    <w:abstractNumId w:val="0"/>
  </w:num>
  <w:num w:numId="9">
    <w:abstractNumId w:val="6"/>
  </w:num>
  <w:num w:numId="10">
    <w:abstractNumId w:val="10"/>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BC"/>
    <w:rsid w:val="00000986"/>
    <w:rsid w:val="00000F17"/>
    <w:rsid w:val="00014CCD"/>
    <w:rsid w:val="00014E86"/>
    <w:rsid w:val="00015726"/>
    <w:rsid w:val="00021C21"/>
    <w:rsid w:val="00031DC5"/>
    <w:rsid w:val="00034A86"/>
    <w:rsid w:val="000413BF"/>
    <w:rsid w:val="00054645"/>
    <w:rsid w:val="000569FD"/>
    <w:rsid w:val="000606C2"/>
    <w:rsid w:val="00065B11"/>
    <w:rsid w:val="00080B33"/>
    <w:rsid w:val="00083862"/>
    <w:rsid w:val="000874BF"/>
    <w:rsid w:val="000A02ED"/>
    <w:rsid w:val="000A4911"/>
    <w:rsid w:val="000D2F01"/>
    <w:rsid w:val="000E61AD"/>
    <w:rsid w:val="000E71B2"/>
    <w:rsid w:val="000F0BCB"/>
    <w:rsid w:val="000F6289"/>
    <w:rsid w:val="001015CE"/>
    <w:rsid w:val="00102DC0"/>
    <w:rsid w:val="00105593"/>
    <w:rsid w:val="00105EB2"/>
    <w:rsid w:val="00140A19"/>
    <w:rsid w:val="00140A5E"/>
    <w:rsid w:val="001428B3"/>
    <w:rsid w:val="001454D0"/>
    <w:rsid w:val="001507C8"/>
    <w:rsid w:val="0015087D"/>
    <w:rsid w:val="001661E8"/>
    <w:rsid w:val="00166D60"/>
    <w:rsid w:val="0017402E"/>
    <w:rsid w:val="00180C98"/>
    <w:rsid w:val="00194918"/>
    <w:rsid w:val="001955A3"/>
    <w:rsid w:val="001A4D65"/>
    <w:rsid w:val="001B50FF"/>
    <w:rsid w:val="001B6FE4"/>
    <w:rsid w:val="001C124F"/>
    <w:rsid w:val="001C1A0E"/>
    <w:rsid w:val="001C624A"/>
    <w:rsid w:val="001D2E98"/>
    <w:rsid w:val="001D7D33"/>
    <w:rsid w:val="001E2F13"/>
    <w:rsid w:val="001E5CCD"/>
    <w:rsid w:val="001F5510"/>
    <w:rsid w:val="00201E65"/>
    <w:rsid w:val="00215BF6"/>
    <w:rsid w:val="00221A7E"/>
    <w:rsid w:val="00231406"/>
    <w:rsid w:val="0025245E"/>
    <w:rsid w:val="00260A8A"/>
    <w:rsid w:val="002626D0"/>
    <w:rsid w:val="002658E0"/>
    <w:rsid w:val="002670DB"/>
    <w:rsid w:val="00271F12"/>
    <w:rsid w:val="002942A9"/>
    <w:rsid w:val="002B5E29"/>
    <w:rsid w:val="002E6696"/>
    <w:rsid w:val="002E678A"/>
    <w:rsid w:val="002F0A6A"/>
    <w:rsid w:val="002F0F74"/>
    <w:rsid w:val="00300038"/>
    <w:rsid w:val="0030300C"/>
    <w:rsid w:val="00314F08"/>
    <w:rsid w:val="0031606F"/>
    <w:rsid w:val="00320384"/>
    <w:rsid w:val="00323149"/>
    <w:rsid w:val="00326EA6"/>
    <w:rsid w:val="00333069"/>
    <w:rsid w:val="0035323B"/>
    <w:rsid w:val="0036007D"/>
    <w:rsid w:val="00361927"/>
    <w:rsid w:val="00370C19"/>
    <w:rsid w:val="00373754"/>
    <w:rsid w:val="00376D4D"/>
    <w:rsid w:val="00377C6A"/>
    <w:rsid w:val="00387F08"/>
    <w:rsid w:val="00387F20"/>
    <w:rsid w:val="0039328E"/>
    <w:rsid w:val="00393644"/>
    <w:rsid w:val="003A5104"/>
    <w:rsid w:val="003A7C80"/>
    <w:rsid w:val="003C427E"/>
    <w:rsid w:val="003C5427"/>
    <w:rsid w:val="003D2DA1"/>
    <w:rsid w:val="003D340A"/>
    <w:rsid w:val="003D6BA4"/>
    <w:rsid w:val="003F073B"/>
    <w:rsid w:val="003F1237"/>
    <w:rsid w:val="003F51A2"/>
    <w:rsid w:val="00402C53"/>
    <w:rsid w:val="00406808"/>
    <w:rsid w:val="004116B1"/>
    <w:rsid w:val="00425F26"/>
    <w:rsid w:val="00434F2B"/>
    <w:rsid w:val="004654C1"/>
    <w:rsid w:val="004668DC"/>
    <w:rsid w:val="004678C6"/>
    <w:rsid w:val="00473DFE"/>
    <w:rsid w:val="004755C8"/>
    <w:rsid w:val="004762A0"/>
    <w:rsid w:val="004777B9"/>
    <w:rsid w:val="00490CD1"/>
    <w:rsid w:val="004933BB"/>
    <w:rsid w:val="004C3159"/>
    <w:rsid w:val="004D06C2"/>
    <w:rsid w:val="004D1A99"/>
    <w:rsid w:val="004D24BB"/>
    <w:rsid w:val="004D6957"/>
    <w:rsid w:val="004E1D21"/>
    <w:rsid w:val="004F65B9"/>
    <w:rsid w:val="00501209"/>
    <w:rsid w:val="00510929"/>
    <w:rsid w:val="00511E1B"/>
    <w:rsid w:val="00512D03"/>
    <w:rsid w:val="0051324C"/>
    <w:rsid w:val="00523F7E"/>
    <w:rsid w:val="00524D37"/>
    <w:rsid w:val="005310F8"/>
    <w:rsid w:val="00536B7E"/>
    <w:rsid w:val="0055099C"/>
    <w:rsid w:val="005615B3"/>
    <w:rsid w:val="00570FCF"/>
    <w:rsid w:val="00591238"/>
    <w:rsid w:val="005A1A08"/>
    <w:rsid w:val="005C0C48"/>
    <w:rsid w:val="005C5FCB"/>
    <w:rsid w:val="005D2C27"/>
    <w:rsid w:val="005D365A"/>
    <w:rsid w:val="005D3C9C"/>
    <w:rsid w:val="005D7E9C"/>
    <w:rsid w:val="005E28DD"/>
    <w:rsid w:val="005F0D07"/>
    <w:rsid w:val="005F3049"/>
    <w:rsid w:val="005F3CDC"/>
    <w:rsid w:val="005F3F1A"/>
    <w:rsid w:val="00601F66"/>
    <w:rsid w:val="00604949"/>
    <w:rsid w:val="006165C7"/>
    <w:rsid w:val="006200FC"/>
    <w:rsid w:val="00622934"/>
    <w:rsid w:val="00622F40"/>
    <w:rsid w:val="00623028"/>
    <w:rsid w:val="00625573"/>
    <w:rsid w:val="0063450A"/>
    <w:rsid w:val="006350E0"/>
    <w:rsid w:val="006418CA"/>
    <w:rsid w:val="00645C9A"/>
    <w:rsid w:val="006507C2"/>
    <w:rsid w:val="006511BB"/>
    <w:rsid w:val="00654C1B"/>
    <w:rsid w:val="00655DCF"/>
    <w:rsid w:val="0066210D"/>
    <w:rsid w:val="00672C00"/>
    <w:rsid w:val="00676460"/>
    <w:rsid w:val="00677BB3"/>
    <w:rsid w:val="006813CD"/>
    <w:rsid w:val="0068190C"/>
    <w:rsid w:val="006850D6"/>
    <w:rsid w:val="006944E2"/>
    <w:rsid w:val="006A45B0"/>
    <w:rsid w:val="006B300D"/>
    <w:rsid w:val="006C0F4B"/>
    <w:rsid w:val="006C2C74"/>
    <w:rsid w:val="006D59E9"/>
    <w:rsid w:val="006D5AEA"/>
    <w:rsid w:val="006E09FB"/>
    <w:rsid w:val="006E26AA"/>
    <w:rsid w:val="006E612F"/>
    <w:rsid w:val="006F2FA4"/>
    <w:rsid w:val="00700E60"/>
    <w:rsid w:val="00706E68"/>
    <w:rsid w:val="00730ED3"/>
    <w:rsid w:val="00732538"/>
    <w:rsid w:val="00734C15"/>
    <w:rsid w:val="007354F0"/>
    <w:rsid w:val="00736488"/>
    <w:rsid w:val="00742340"/>
    <w:rsid w:val="00746E32"/>
    <w:rsid w:val="00757057"/>
    <w:rsid w:val="0078412D"/>
    <w:rsid w:val="00785B87"/>
    <w:rsid w:val="00791BAF"/>
    <w:rsid w:val="007A0A94"/>
    <w:rsid w:val="007A7C9A"/>
    <w:rsid w:val="007B2193"/>
    <w:rsid w:val="007B316E"/>
    <w:rsid w:val="007D0699"/>
    <w:rsid w:val="007E4945"/>
    <w:rsid w:val="007F3F59"/>
    <w:rsid w:val="007F7A23"/>
    <w:rsid w:val="00802CB2"/>
    <w:rsid w:val="00821242"/>
    <w:rsid w:val="008320FC"/>
    <w:rsid w:val="00841DFD"/>
    <w:rsid w:val="008429CD"/>
    <w:rsid w:val="00865B87"/>
    <w:rsid w:val="00874636"/>
    <w:rsid w:val="00876955"/>
    <w:rsid w:val="008800EA"/>
    <w:rsid w:val="00883142"/>
    <w:rsid w:val="008910C0"/>
    <w:rsid w:val="008A0DC5"/>
    <w:rsid w:val="008A26E2"/>
    <w:rsid w:val="008A48A9"/>
    <w:rsid w:val="008C3020"/>
    <w:rsid w:val="008D30F6"/>
    <w:rsid w:val="008F143A"/>
    <w:rsid w:val="009062B8"/>
    <w:rsid w:val="00910DB0"/>
    <w:rsid w:val="00911B75"/>
    <w:rsid w:val="00916F3B"/>
    <w:rsid w:val="009178ED"/>
    <w:rsid w:val="009245A7"/>
    <w:rsid w:val="00933351"/>
    <w:rsid w:val="0093669E"/>
    <w:rsid w:val="00937A69"/>
    <w:rsid w:val="009542B1"/>
    <w:rsid w:val="0096145F"/>
    <w:rsid w:val="00966B34"/>
    <w:rsid w:val="0097134A"/>
    <w:rsid w:val="00973F10"/>
    <w:rsid w:val="00974563"/>
    <w:rsid w:val="00984059"/>
    <w:rsid w:val="009A685A"/>
    <w:rsid w:val="009D69F6"/>
    <w:rsid w:val="009D7CFA"/>
    <w:rsid w:val="009E26AB"/>
    <w:rsid w:val="009E3746"/>
    <w:rsid w:val="009F0A91"/>
    <w:rsid w:val="00A00A43"/>
    <w:rsid w:val="00A03B47"/>
    <w:rsid w:val="00A07A0A"/>
    <w:rsid w:val="00A23BE7"/>
    <w:rsid w:val="00A252B8"/>
    <w:rsid w:val="00A30287"/>
    <w:rsid w:val="00A33994"/>
    <w:rsid w:val="00A3449D"/>
    <w:rsid w:val="00A41610"/>
    <w:rsid w:val="00A4656C"/>
    <w:rsid w:val="00A512D2"/>
    <w:rsid w:val="00A5304E"/>
    <w:rsid w:val="00A56506"/>
    <w:rsid w:val="00A56B80"/>
    <w:rsid w:val="00A6754E"/>
    <w:rsid w:val="00A73C15"/>
    <w:rsid w:val="00A74EBE"/>
    <w:rsid w:val="00A8273B"/>
    <w:rsid w:val="00A83ED7"/>
    <w:rsid w:val="00A95A04"/>
    <w:rsid w:val="00A96B55"/>
    <w:rsid w:val="00A9791B"/>
    <w:rsid w:val="00AB15B6"/>
    <w:rsid w:val="00AB1BC6"/>
    <w:rsid w:val="00AB5169"/>
    <w:rsid w:val="00AC50D2"/>
    <w:rsid w:val="00AC56C3"/>
    <w:rsid w:val="00AD3D68"/>
    <w:rsid w:val="00AE2F49"/>
    <w:rsid w:val="00AE35C8"/>
    <w:rsid w:val="00AE5E26"/>
    <w:rsid w:val="00B0453A"/>
    <w:rsid w:val="00B11561"/>
    <w:rsid w:val="00B11901"/>
    <w:rsid w:val="00B125A7"/>
    <w:rsid w:val="00B20BDC"/>
    <w:rsid w:val="00B25A62"/>
    <w:rsid w:val="00B32254"/>
    <w:rsid w:val="00B327E3"/>
    <w:rsid w:val="00B33091"/>
    <w:rsid w:val="00B41C57"/>
    <w:rsid w:val="00B445F2"/>
    <w:rsid w:val="00B454D5"/>
    <w:rsid w:val="00B47C8E"/>
    <w:rsid w:val="00B50F31"/>
    <w:rsid w:val="00B57F31"/>
    <w:rsid w:val="00B60FEF"/>
    <w:rsid w:val="00B72A70"/>
    <w:rsid w:val="00B770C7"/>
    <w:rsid w:val="00B84CBC"/>
    <w:rsid w:val="00B9035E"/>
    <w:rsid w:val="00B95F3F"/>
    <w:rsid w:val="00BA3FB2"/>
    <w:rsid w:val="00BA6796"/>
    <w:rsid w:val="00BB0B42"/>
    <w:rsid w:val="00BB0CD7"/>
    <w:rsid w:val="00BB386A"/>
    <w:rsid w:val="00BC2830"/>
    <w:rsid w:val="00BC4824"/>
    <w:rsid w:val="00BC5E34"/>
    <w:rsid w:val="00BD3FE5"/>
    <w:rsid w:val="00BD5A59"/>
    <w:rsid w:val="00BE1AD0"/>
    <w:rsid w:val="00BE4730"/>
    <w:rsid w:val="00BF0678"/>
    <w:rsid w:val="00BF0959"/>
    <w:rsid w:val="00BF4A3C"/>
    <w:rsid w:val="00BF6F5D"/>
    <w:rsid w:val="00C02152"/>
    <w:rsid w:val="00C13200"/>
    <w:rsid w:val="00C25C3E"/>
    <w:rsid w:val="00C27432"/>
    <w:rsid w:val="00C274A7"/>
    <w:rsid w:val="00C27812"/>
    <w:rsid w:val="00C310FD"/>
    <w:rsid w:val="00C34569"/>
    <w:rsid w:val="00C50102"/>
    <w:rsid w:val="00C540F2"/>
    <w:rsid w:val="00C5438F"/>
    <w:rsid w:val="00C5691D"/>
    <w:rsid w:val="00C60A8C"/>
    <w:rsid w:val="00C617F2"/>
    <w:rsid w:val="00C809B2"/>
    <w:rsid w:val="00C84F3C"/>
    <w:rsid w:val="00C91B1B"/>
    <w:rsid w:val="00C91F50"/>
    <w:rsid w:val="00C93227"/>
    <w:rsid w:val="00CA270F"/>
    <w:rsid w:val="00CB011D"/>
    <w:rsid w:val="00CB1DFB"/>
    <w:rsid w:val="00CB29E0"/>
    <w:rsid w:val="00CC39FA"/>
    <w:rsid w:val="00CC6010"/>
    <w:rsid w:val="00CD069F"/>
    <w:rsid w:val="00CD46F6"/>
    <w:rsid w:val="00CF2387"/>
    <w:rsid w:val="00CF6595"/>
    <w:rsid w:val="00CF76BC"/>
    <w:rsid w:val="00D01603"/>
    <w:rsid w:val="00D0519C"/>
    <w:rsid w:val="00D10466"/>
    <w:rsid w:val="00D14610"/>
    <w:rsid w:val="00D22ADE"/>
    <w:rsid w:val="00D23643"/>
    <w:rsid w:val="00D24909"/>
    <w:rsid w:val="00D25F53"/>
    <w:rsid w:val="00D265BF"/>
    <w:rsid w:val="00D30ADB"/>
    <w:rsid w:val="00D45070"/>
    <w:rsid w:val="00D52AB2"/>
    <w:rsid w:val="00D552A2"/>
    <w:rsid w:val="00D6655E"/>
    <w:rsid w:val="00D67112"/>
    <w:rsid w:val="00D71F81"/>
    <w:rsid w:val="00D9045D"/>
    <w:rsid w:val="00D96548"/>
    <w:rsid w:val="00DA2BC1"/>
    <w:rsid w:val="00DD146B"/>
    <w:rsid w:val="00DD167D"/>
    <w:rsid w:val="00DD22B7"/>
    <w:rsid w:val="00DE2973"/>
    <w:rsid w:val="00DE420F"/>
    <w:rsid w:val="00DE437E"/>
    <w:rsid w:val="00DE6401"/>
    <w:rsid w:val="00DE71BE"/>
    <w:rsid w:val="00DF0A79"/>
    <w:rsid w:val="00DF6F74"/>
    <w:rsid w:val="00DF7D92"/>
    <w:rsid w:val="00E039FA"/>
    <w:rsid w:val="00E111C9"/>
    <w:rsid w:val="00E168F3"/>
    <w:rsid w:val="00E41E9B"/>
    <w:rsid w:val="00E43B0B"/>
    <w:rsid w:val="00E52DE9"/>
    <w:rsid w:val="00E52E5A"/>
    <w:rsid w:val="00E5608B"/>
    <w:rsid w:val="00E60802"/>
    <w:rsid w:val="00E62CAD"/>
    <w:rsid w:val="00E63701"/>
    <w:rsid w:val="00E673BD"/>
    <w:rsid w:val="00E806E5"/>
    <w:rsid w:val="00E83959"/>
    <w:rsid w:val="00E91224"/>
    <w:rsid w:val="00E91AC5"/>
    <w:rsid w:val="00E9395E"/>
    <w:rsid w:val="00EA6E92"/>
    <w:rsid w:val="00EB4598"/>
    <w:rsid w:val="00EB6A61"/>
    <w:rsid w:val="00EC54B8"/>
    <w:rsid w:val="00EC6C69"/>
    <w:rsid w:val="00ED16BF"/>
    <w:rsid w:val="00ED33E9"/>
    <w:rsid w:val="00EF4699"/>
    <w:rsid w:val="00EF5758"/>
    <w:rsid w:val="00F00291"/>
    <w:rsid w:val="00F00675"/>
    <w:rsid w:val="00F06712"/>
    <w:rsid w:val="00F13F4C"/>
    <w:rsid w:val="00F158B5"/>
    <w:rsid w:val="00F242E4"/>
    <w:rsid w:val="00F2442F"/>
    <w:rsid w:val="00F35D86"/>
    <w:rsid w:val="00F41A05"/>
    <w:rsid w:val="00F42B4C"/>
    <w:rsid w:val="00F50F62"/>
    <w:rsid w:val="00F52A03"/>
    <w:rsid w:val="00F549B1"/>
    <w:rsid w:val="00F55128"/>
    <w:rsid w:val="00F67BA3"/>
    <w:rsid w:val="00F90079"/>
    <w:rsid w:val="00FA1FC9"/>
    <w:rsid w:val="00FA480D"/>
    <w:rsid w:val="00FB1583"/>
    <w:rsid w:val="00FB2ECD"/>
    <w:rsid w:val="00FC292D"/>
    <w:rsid w:val="00FD4BE5"/>
    <w:rsid w:val="00FD5D52"/>
    <w:rsid w:val="00FD7201"/>
    <w:rsid w:val="00FE5D35"/>
    <w:rsid w:val="00FF0C8E"/>
    <w:rsid w:val="00FF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E74E7"/>
  <w15:docId w15:val="{66080BD3-B536-4B38-B039-29342EDA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NewCenturySchlbk" w:hAnsi="NewCenturySchlbk"/>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25A7"/>
    <w:pPr>
      <w:ind w:left="1440"/>
      <w:jc w:val="left"/>
    </w:pPr>
    <w:rPr>
      <w:rFonts w:ascii="Times New Roman" w:hAnsi="Times New Roman"/>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BodyTextIndent2">
    <w:name w:val="Body Text Indent 2"/>
    <w:basedOn w:val="Normal"/>
    <w:rsid w:val="00B125A7"/>
    <w:pPr>
      <w:ind w:left="1440" w:hanging="504"/>
      <w:jc w:val="left"/>
    </w:pPr>
    <w:rPr>
      <w:rFonts w:ascii="Times New Roman" w:hAnsi="Times New Roman"/>
      <w:sz w:val="20"/>
    </w:rPr>
  </w:style>
  <w:style w:type="paragraph" w:styleId="Title">
    <w:name w:val="Title"/>
    <w:basedOn w:val="Normal"/>
    <w:next w:val="Normal"/>
    <w:qFormat/>
    <w:pPr>
      <w:spacing w:before="240" w:after="60"/>
      <w:jc w:val="center"/>
    </w:pPr>
    <w:rPr>
      <w:rFonts w:ascii="Arial" w:hAnsi="Arial"/>
      <w:b/>
      <w:kern w:val="28"/>
      <w:sz w:val="32"/>
    </w:rPr>
  </w:style>
  <w:style w:type="paragraph" w:styleId="BodyText3">
    <w:name w:val="Body Text 3"/>
    <w:basedOn w:val="Normal"/>
    <w:rsid w:val="00B125A7"/>
    <w:pPr>
      <w:tabs>
        <w:tab w:val="left" w:pos="-2160"/>
        <w:tab w:val="left" w:pos="-1440"/>
        <w:tab w:val="left" w:pos="-720"/>
        <w:tab w:val="left" w:pos="-168"/>
        <w:tab w:val="left" w:pos="384"/>
        <w:tab w:val="left" w:pos="936"/>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0"/>
      <w:u w:val="single"/>
    </w:rPr>
  </w:style>
  <w:style w:type="paragraph" w:styleId="BodyTextIndent3">
    <w:name w:val="Body Text Indent 3"/>
    <w:basedOn w:val="Normal"/>
    <w:rsid w:val="00B125A7"/>
    <w:pPr>
      <w:tabs>
        <w:tab w:val="left" w:pos="-2160"/>
        <w:tab w:val="left" w:pos="-1440"/>
        <w:tab w:val="left" w:pos="-720"/>
        <w:tab w:val="left" w:pos="-168"/>
        <w:tab w:val="left" w:pos="384"/>
        <w:tab w:val="left" w:pos="936"/>
        <w:tab w:val="left" w:pos="1440"/>
        <w:tab w:val="left" w:pos="2160"/>
        <w:tab w:val="left" w:pos="2880"/>
        <w:tab w:val="left" w:pos="3600"/>
        <w:tab w:val="left" w:pos="4320"/>
        <w:tab w:val="left" w:pos="5040"/>
        <w:tab w:val="left" w:pos="5760"/>
        <w:tab w:val="left" w:pos="6480"/>
        <w:tab w:val="left" w:pos="7200"/>
        <w:tab w:val="left" w:pos="7920"/>
      </w:tabs>
      <w:ind w:left="936" w:hanging="552"/>
    </w:pPr>
    <w:rPr>
      <w:rFonts w:ascii="Times New Roman" w:hAnsi="Times New Roman"/>
      <w:sz w:val="20"/>
    </w:rPr>
  </w:style>
  <w:style w:type="paragraph" w:styleId="BodyText2">
    <w:name w:val="Body Text 2"/>
    <w:basedOn w:val="Normal"/>
    <w:rsid w:val="00B125A7"/>
    <w:pPr>
      <w:tabs>
        <w:tab w:val="left" w:pos="-2160"/>
        <w:tab w:val="left" w:pos="-1440"/>
        <w:tab w:val="left" w:pos="-720"/>
        <w:tab w:val="left" w:pos="-168"/>
        <w:tab w:val="left" w:pos="384"/>
        <w:tab w:val="left" w:pos="936"/>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0"/>
    </w:rPr>
  </w:style>
  <w:style w:type="paragraph" w:styleId="BalloonText">
    <w:name w:val="Balloon Text"/>
    <w:basedOn w:val="Normal"/>
    <w:semiHidden/>
    <w:rsid w:val="003C5427"/>
    <w:rPr>
      <w:rFonts w:ascii="Tahoma" w:hAnsi="Tahoma" w:cs="Tahoma"/>
      <w:sz w:val="16"/>
      <w:szCs w:val="16"/>
    </w:rPr>
  </w:style>
  <w:style w:type="character" w:styleId="Hyperlink">
    <w:name w:val="Hyperlink"/>
    <w:rsid w:val="00A8273B"/>
    <w:rPr>
      <w:color w:val="0000FF"/>
      <w:u w:val="single"/>
    </w:rPr>
  </w:style>
  <w:style w:type="paragraph" w:styleId="PlainText">
    <w:name w:val="Plain Text"/>
    <w:basedOn w:val="Normal"/>
    <w:link w:val="PlainTextChar"/>
    <w:uiPriority w:val="99"/>
    <w:semiHidden/>
    <w:unhideWhenUsed/>
    <w:rsid w:val="00B327E3"/>
    <w:pPr>
      <w:jc w:val="left"/>
    </w:pPr>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B327E3"/>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9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064">
      <w:bodyDiv w:val="1"/>
      <w:marLeft w:val="0"/>
      <w:marRight w:val="0"/>
      <w:marTop w:val="0"/>
      <w:marBottom w:val="0"/>
      <w:divBdr>
        <w:top w:val="none" w:sz="0" w:space="0" w:color="auto"/>
        <w:left w:val="none" w:sz="0" w:space="0" w:color="auto"/>
        <w:bottom w:val="none" w:sz="0" w:space="0" w:color="auto"/>
        <w:right w:val="none" w:sz="0" w:space="0" w:color="auto"/>
      </w:divBdr>
    </w:div>
    <w:div w:id="63186865">
      <w:bodyDiv w:val="1"/>
      <w:marLeft w:val="0"/>
      <w:marRight w:val="0"/>
      <w:marTop w:val="0"/>
      <w:marBottom w:val="0"/>
      <w:divBdr>
        <w:top w:val="none" w:sz="0" w:space="0" w:color="auto"/>
        <w:left w:val="none" w:sz="0" w:space="0" w:color="auto"/>
        <w:bottom w:val="none" w:sz="0" w:space="0" w:color="auto"/>
        <w:right w:val="none" w:sz="0" w:space="0" w:color="auto"/>
      </w:divBdr>
    </w:div>
    <w:div w:id="116224722">
      <w:bodyDiv w:val="1"/>
      <w:marLeft w:val="0"/>
      <w:marRight w:val="0"/>
      <w:marTop w:val="0"/>
      <w:marBottom w:val="0"/>
      <w:divBdr>
        <w:top w:val="none" w:sz="0" w:space="0" w:color="auto"/>
        <w:left w:val="none" w:sz="0" w:space="0" w:color="auto"/>
        <w:bottom w:val="none" w:sz="0" w:space="0" w:color="auto"/>
        <w:right w:val="none" w:sz="0" w:space="0" w:color="auto"/>
      </w:divBdr>
    </w:div>
    <w:div w:id="151262872">
      <w:bodyDiv w:val="1"/>
      <w:marLeft w:val="0"/>
      <w:marRight w:val="0"/>
      <w:marTop w:val="0"/>
      <w:marBottom w:val="0"/>
      <w:divBdr>
        <w:top w:val="none" w:sz="0" w:space="0" w:color="auto"/>
        <w:left w:val="none" w:sz="0" w:space="0" w:color="auto"/>
        <w:bottom w:val="none" w:sz="0" w:space="0" w:color="auto"/>
        <w:right w:val="none" w:sz="0" w:space="0" w:color="auto"/>
      </w:divBdr>
    </w:div>
    <w:div w:id="152841096">
      <w:bodyDiv w:val="1"/>
      <w:marLeft w:val="0"/>
      <w:marRight w:val="0"/>
      <w:marTop w:val="0"/>
      <w:marBottom w:val="0"/>
      <w:divBdr>
        <w:top w:val="none" w:sz="0" w:space="0" w:color="auto"/>
        <w:left w:val="none" w:sz="0" w:space="0" w:color="auto"/>
        <w:bottom w:val="none" w:sz="0" w:space="0" w:color="auto"/>
        <w:right w:val="none" w:sz="0" w:space="0" w:color="auto"/>
      </w:divBdr>
    </w:div>
    <w:div w:id="206720510">
      <w:bodyDiv w:val="1"/>
      <w:marLeft w:val="0"/>
      <w:marRight w:val="0"/>
      <w:marTop w:val="0"/>
      <w:marBottom w:val="0"/>
      <w:divBdr>
        <w:top w:val="none" w:sz="0" w:space="0" w:color="auto"/>
        <w:left w:val="none" w:sz="0" w:space="0" w:color="auto"/>
        <w:bottom w:val="none" w:sz="0" w:space="0" w:color="auto"/>
        <w:right w:val="none" w:sz="0" w:space="0" w:color="auto"/>
      </w:divBdr>
    </w:div>
    <w:div w:id="229537998">
      <w:bodyDiv w:val="1"/>
      <w:marLeft w:val="0"/>
      <w:marRight w:val="0"/>
      <w:marTop w:val="0"/>
      <w:marBottom w:val="0"/>
      <w:divBdr>
        <w:top w:val="none" w:sz="0" w:space="0" w:color="auto"/>
        <w:left w:val="none" w:sz="0" w:space="0" w:color="auto"/>
        <w:bottom w:val="none" w:sz="0" w:space="0" w:color="auto"/>
        <w:right w:val="none" w:sz="0" w:space="0" w:color="auto"/>
      </w:divBdr>
    </w:div>
    <w:div w:id="254899965">
      <w:bodyDiv w:val="1"/>
      <w:marLeft w:val="0"/>
      <w:marRight w:val="0"/>
      <w:marTop w:val="0"/>
      <w:marBottom w:val="0"/>
      <w:divBdr>
        <w:top w:val="none" w:sz="0" w:space="0" w:color="auto"/>
        <w:left w:val="none" w:sz="0" w:space="0" w:color="auto"/>
        <w:bottom w:val="none" w:sz="0" w:space="0" w:color="auto"/>
        <w:right w:val="none" w:sz="0" w:space="0" w:color="auto"/>
      </w:divBdr>
    </w:div>
    <w:div w:id="270942156">
      <w:bodyDiv w:val="1"/>
      <w:marLeft w:val="0"/>
      <w:marRight w:val="0"/>
      <w:marTop w:val="0"/>
      <w:marBottom w:val="0"/>
      <w:divBdr>
        <w:top w:val="none" w:sz="0" w:space="0" w:color="auto"/>
        <w:left w:val="none" w:sz="0" w:space="0" w:color="auto"/>
        <w:bottom w:val="none" w:sz="0" w:space="0" w:color="auto"/>
        <w:right w:val="none" w:sz="0" w:space="0" w:color="auto"/>
      </w:divBdr>
    </w:div>
    <w:div w:id="352539750">
      <w:bodyDiv w:val="1"/>
      <w:marLeft w:val="0"/>
      <w:marRight w:val="0"/>
      <w:marTop w:val="0"/>
      <w:marBottom w:val="0"/>
      <w:divBdr>
        <w:top w:val="none" w:sz="0" w:space="0" w:color="auto"/>
        <w:left w:val="none" w:sz="0" w:space="0" w:color="auto"/>
        <w:bottom w:val="none" w:sz="0" w:space="0" w:color="auto"/>
        <w:right w:val="none" w:sz="0" w:space="0" w:color="auto"/>
      </w:divBdr>
    </w:div>
    <w:div w:id="353045121">
      <w:bodyDiv w:val="1"/>
      <w:marLeft w:val="0"/>
      <w:marRight w:val="0"/>
      <w:marTop w:val="0"/>
      <w:marBottom w:val="0"/>
      <w:divBdr>
        <w:top w:val="none" w:sz="0" w:space="0" w:color="auto"/>
        <w:left w:val="none" w:sz="0" w:space="0" w:color="auto"/>
        <w:bottom w:val="none" w:sz="0" w:space="0" w:color="auto"/>
        <w:right w:val="none" w:sz="0" w:space="0" w:color="auto"/>
      </w:divBdr>
    </w:div>
    <w:div w:id="415444176">
      <w:bodyDiv w:val="1"/>
      <w:marLeft w:val="0"/>
      <w:marRight w:val="0"/>
      <w:marTop w:val="0"/>
      <w:marBottom w:val="0"/>
      <w:divBdr>
        <w:top w:val="none" w:sz="0" w:space="0" w:color="auto"/>
        <w:left w:val="none" w:sz="0" w:space="0" w:color="auto"/>
        <w:bottom w:val="none" w:sz="0" w:space="0" w:color="auto"/>
        <w:right w:val="none" w:sz="0" w:space="0" w:color="auto"/>
      </w:divBdr>
    </w:div>
    <w:div w:id="447432702">
      <w:bodyDiv w:val="1"/>
      <w:marLeft w:val="0"/>
      <w:marRight w:val="0"/>
      <w:marTop w:val="0"/>
      <w:marBottom w:val="0"/>
      <w:divBdr>
        <w:top w:val="none" w:sz="0" w:space="0" w:color="auto"/>
        <w:left w:val="none" w:sz="0" w:space="0" w:color="auto"/>
        <w:bottom w:val="none" w:sz="0" w:space="0" w:color="auto"/>
        <w:right w:val="none" w:sz="0" w:space="0" w:color="auto"/>
      </w:divBdr>
    </w:div>
    <w:div w:id="515460519">
      <w:bodyDiv w:val="1"/>
      <w:marLeft w:val="0"/>
      <w:marRight w:val="0"/>
      <w:marTop w:val="0"/>
      <w:marBottom w:val="0"/>
      <w:divBdr>
        <w:top w:val="none" w:sz="0" w:space="0" w:color="auto"/>
        <w:left w:val="none" w:sz="0" w:space="0" w:color="auto"/>
        <w:bottom w:val="none" w:sz="0" w:space="0" w:color="auto"/>
        <w:right w:val="none" w:sz="0" w:space="0" w:color="auto"/>
      </w:divBdr>
    </w:div>
    <w:div w:id="51677330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
    <w:div w:id="651103613">
      <w:bodyDiv w:val="1"/>
      <w:marLeft w:val="0"/>
      <w:marRight w:val="0"/>
      <w:marTop w:val="0"/>
      <w:marBottom w:val="0"/>
      <w:divBdr>
        <w:top w:val="none" w:sz="0" w:space="0" w:color="auto"/>
        <w:left w:val="none" w:sz="0" w:space="0" w:color="auto"/>
        <w:bottom w:val="none" w:sz="0" w:space="0" w:color="auto"/>
        <w:right w:val="none" w:sz="0" w:space="0" w:color="auto"/>
      </w:divBdr>
    </w:div>
    <w:div w:id="658079370">
      <w:bodyDiv w:val="1"/>
      <w:marLeft w:val="0"/>
      <w:marRight w:val="0"/>
      <w:marTop w:val="0"/>
      <w:marBottom w:val="0"/>
      <w:divBdr>
        <w:top w:val="none" w:sz="0" w:space="0" w:color="auto"/>
        <w:left w:val="none" w:sz="0" w:space="0" w:color="auto"/>
        <w:bottom w:val="none" w:sz="0" w:space="0" w:color="auto"/>
        <w:right w:val="none" w:sz="0" w:space="0" w:color="auto"/>
      </w:divBdr>
    </w:div>
    <w:div w:id="670832775">
      <w:bodyDiv w:val="1"/>
      <w:marLeft w:val="0"/>
      <w:marRight w:val="0"/>
      <w:marTop w:val="0"/>
      <w:marBottom w:val="0"/>
      <w:divBdr>
        <w:top w:val="none" w:sz="0" w:space="0" w:color="auto"/>
        <w:left w:val="none" w:sz="0" w:space="0" w:color="auto"/>
        <w:bottom w:val="none" w:sz="0" w:space="0" w:color="auto"/>
        <w:right w:val="none" w:sz="0" w:space="0" w:color="auto"/>
      </w:divBdr>
    </w:div>
    <w:div w:id="682516949">
      <w:bodyDiv w:val="1"/>
      <w:marLeft w:val="0"/>
      <w:marRight w:val="0"/>
      <w:marTop w:val="0"/>
      <w:marBottom w:val="0"/>
      <w:divBdr>
        <w:top w:val="none" w:sz="0" w:space="0" w:color="auto"/>
        <w:left w:val="none" w:sz="0" w:space="0" w:color="auto"/>
        <w:bottom w:val="none" w:sz="0" w:space="0" w:color="auto"/>
        <w:right w:val="none" w:sz="0" w:space="0" w:color="auto"/>
      </w:divBdr>
    </w:div>
    <w:div w:id="694036707">
      <w:bodyDiv w:val="1"/>
      <w:marLeft w:val="0"/>
      <w:marRight w:val="0"/>
      <w:marTop w:val="0"/>
      <w:marBottom w:val="0"/>
      <w:divBdr>
        <w:top w:val="none" w:sz="0" w:space="0" w:color="auto"/>
        <w:left w:val="none" w:sz="0" w:space="0" w:color="auto"/>
        <w:bottom w:val="none" w:sz="0" w:space="0" w:color="auto"/>
        <w:right w:val="none" w:sz="0" w:space="0" w:color="auto"/>
      </w:divBdr>
    </w:div>
    <w:div w:id="756753256">
      <w:bodyDiv w:val="1"/>
      <w:marLeft w:val="0"/>
      <w:marRight w:val="0"/>
      <w:marTop w:val="0"/>
      <w:marBottom w:val="0"/>
      <w:divBdr>
        <w:top w:val="none" w:sz="0" w:space="0" w:color="auto"/>
        <w:left w:val="none" w:sz="0" w:space="0" w:color="auto"/>
        <w:bottom w:val="none" w:sz="0" w:space="0" w:color="auto"/>
        <w:right w:val="none" w:sz="0" w:space="0" w:color="auto"/>
      </w:divBdr>
    </w:div>
    <w:div w:id="759332291">
      <w:bodyDiv w:val="1"/>
      <w:marLeft w:val="0"/>
      <w:marRight w:val="0"/>
      <w:marTop w:val="0"/>
      <w:marBottom w:val="0"/>
      <w:divBdr>
        <w:top w:val="none" w:sz="0" w:space="0" w:color="auto"/>
        <w:left w:val="none" w:sz="0" w:space="0" w:color="auto"/>
        <w:bottom w:val="none" w:sz="0" w:space="0" w:color="auto"/>
        <w:right w:val="none" w:sz="0" w:space="0" w:color="auto"/>
      </w:divBdr>
    </w:div>
    <w:div w:id="761149967">
      <w:bodyDiv w:val="1"/>
      <w:marLeft w:val="0"/>
      <w:marRight w:val="0"/>
      <w:marTop w:val="0"/>
      <w:marBottom w:val="0"/>
      <w:divBdr>
        <w:top w:val="none" w:sz="0" w:space="0" w:color="auto"/>
        <w:left w:val="none" w:sz="0" w:space="0" w:color="auto"/>
        <w:bottom w:val="none" w:sz="0" w:space="0" w:color="auto"/>
        <w:right w:val="none" w:sz="0" w:space="0" w:color="auto"/>
      </w:divBdr>
    </w:div>
    <w:div w:id="775369044">
      <w:bodyDiv w:val="1"/>
      <w:marLeft w:val="0"/>
      <w:marRight w:val="0"/>
      <w:marTop w:val="0"/>
      <w:marBottom w:val="0"/>
      <w:divBdr>
        <w:top w:val="none" w:sz="0" w:space="0" w:color="auto"/>
        <w:left w:val="none" w:sz="0" w:space="0" w:color="auto"/>
        <w:bottom w:val="none" w:sz="0" w:space="0" w:color="auto"/>
        <w:right w:val="none" w:sz="0" w:space="0" w:color="auto"/>
      </w:divBdr>
    </w:div>
    <w:div w:id="822744819">
      <w:bodyDiv w:val="1"/>
      <w:marLeft w:val="0"/>
      <w:marRight w:val="0"/>
      <w:marTop w:val="0"/>
      <w:marBottom w:val="0"/>
      <w:divBdr>
        <w:top w:val="none" w:sz="0" w:space="0" w:color="auto"/>
        <w:left w:val="none" w:sz="0" w:space="0" w:color="auto"/>
        <w:bottom w:val="none" w:sz="0" w:space="0" w:color="auto"/>
        <w:right w:val="none" w:sz="0" w:space="0" w:color="auto"/>
      </w:divBdr>
    </w:div>
    <w:div w:id="888225587">
      <w:bodyDiv w:val="1"/>
      <w:marLeft w:val="0"/>
      <w:marRight w:val="0"/>
      <w:marTop w:val="0"/>
      <w:marBottom w:val="0"/>
      <w:divBdr>
        <w:top w:val="none" w:sz="0" w:space="0" w:color="auto"/>
        <w:left w:val="none" w:sz="0" w:space="0" w:color="auto"/>
        <w:bottom w:val="none" w:sz="0" w:space="0" w:color="auto"/>
        <w:right w:val="none" w:sz="0" w:space="0" w:color="auto"/>
      </w:divBdr>
    </w:div>
    <w:div w:id="913510554">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72296406">
      <w:bodyDiv w:val="1"/>
      <w:marLeft w:val="0"/>
      <w:marRight w:val="0"/>
      <w:marTop w:val="0"/>
      <w:marBottom w:val="0"/>
      <w:divBdr>
        <w:top w:val="none" w:sz="0" w:space="0" w:color="auto"/>
        <w:left w:val="none" w:sz="0" w:space="0" w:color="auto"/>
        <w:bottom w:val="none" w:sz="0" w:space="0" w:color="auto"/>
        <w:right w:val="none" w:sz="0" w:space="0" w:color="auto"/>
      </w:divBdr>
    </w:div>
    <w:div w:id="982582522">
      <w:bodyDiv w:val="1"/>
      <w:marLeft w:val="0"/>
      <w:marRight w:val="0"/>
      <w:marTop w:val="0"/>
      <w:marBottom w:val="0"/>
      <w:divBdr>
        <w:top w:val="none" w:sz="0" w:space="0" w:color="auto"/>
        <w:left w:val="none" w:sz="0" w:space="0" w:color="auto"/>
        <w:bottom w:val="none" w:sz="0" w:space="0" w:color="auto"/>
        <w:right w:val="none" w:sz="0" w:space="0" w:color="auto"/>
      </w:divBdr>
    </w:div>
    <w:div w:id="985167365">
      <w:bodyDiv w:val="1"/>
      <w:marLeft w:val="0"/>
      <w:marRight w:val="0"/>
      <w:marTop w:val="0"/>
      <w:marBottom w:val="0"/>
      <w:divBdr>
        <w:top w:val="none" w:sz="0" w:space="0" w:color="auto"/>
        <w:left w:val="none" w:sz="0" w:space="0" w:color="auto"/>
        <w:bottom w:val="none" w:sz="0" w:space="0" w:color="auto"/>
        <w:right w:val="none" w:sz="0" w:space="0" w:color="auto"/>
      </w:divBdr>
    </w:div>
    <w:div w:id="1033841604">
      <w:bodyDiv w:val="1"/>
      <w:marLeft w:val="0"/>
      <w:marRight w:val="0"/>
      <w:marTop w:val="0"/>
      <w:marBottom w:val="0"/>
      <w:divBdr>
        <w:top w:val="none" w:sz="0" w:space="0" w:color="auto"/>
        <w:left w:val="none" w:sz="0" w:space="0" w:color="auto"/>
        <w:bottom w:val="none" w:sz="0" w:space="0" w:color="auto"/>
        <w:right w:val="none" w:sz="0" w:space="0" w:color="auto"/>
      </w:divBdr>
    </w:div>
    <w:div w:id="1044209812">
      <w:bodyDiv w:val="1"/>
      <w:marLeft w:val="0"/>
      <w:marRight w:val="0"/>
      <w:marTop w:val="0"/>
      <w:marBottom w:val="0"/>
      <w:divBdr>
        <w:top w:val="none" w:sz="0" w:space="0" w:color="auto"/>
        <w:left w:val="none" w:sz="0" w:space="0" w:color="auto"/>
        <w:bottom w:val="none" w:sz="0" w:space="0" w:color="auto"/>
        <w:right w:val="none" w:sz="0" w:space="0" w:color="auto"/>
      </w:divBdr>
    </w:div>
    <w:div w:id="1095829149">
      <w:bodyDiv w:val="1"/>
      <w:marLeft w:val="0"/>
      <w:marRight w:val="0"/>
      <w:marTop w:val="0"/>
      <w:marBottom w:val="0"/>
      <w:divBdr>
        <w:top w:val="none" w:sz="0" w:space="0" w:color="auto"/>
        <w:left w:val="none" w:sz="0" w:space="0" w:color="auto"/>
        <w:bottom w:val="none" w:sz="0" w:space="0" w:color="auto"/>
        <w:right w:val="none" w:sz="0" w:space="0" w:color="auto"/>
      </w:divBdr>
    </w:div>
    <w:div w:id="1206134670">
      <w:bodyDiv w:val="1"/>
      <w:marLeft w:val="0"/>
      <w:marRight w:val="0"/>
      <w:marTop w:val="0"/>
      <w:marBottom w:val="0"/>
      <w:divBdr>
        <w:top w:val="none" w:sz="0" w:space="0" w:color="auto"/>
        <w:left w:val="none" w:sz="0" w:space="0" w:color="auto"/>
        <w:bottom w:val="none" w:sz="0" w:space="0" w:color="auto"/>
        <w:right w:val="none" w:sz="0" w:space="0" w:color="auto"/>
      </w:divBdr>
    </w:div>
    <w:div w:id="1230724349">
      <w:bodyDiv w:val="1"/>
      <w:marLeft w:val="0"/>
      <w:marRight w:val="0"/>
      <w:marTop w:val="0"/>
      <w:marBottom w:val="0"/>
      <w:divBdr>
        <w:top w:val="none" w:sz="0" w:space="0" w:color="auto"/>
        <w:left w:val="none" w:sz="0" w:space="0" w:color="auto"/>
        <w:bottom w:val="none" w:sz="0" w:space="0" w:color="auto"/>
        <w:right w:val="none" w:sz="0" w:space="0" w:color="auto"/>
      </w:divBdr>
    </w:div>
    <w:div w:id="1260794640">
      <w:bodyDiv w:val="1"/>
      <w:marLeft w:val="0"/>
      <w:marRight w:val="0"/>
      <w:marTop w:val="0"/>
      <w:marBottom w:val="0"/>
      <w:divBdr>
        <w:top w:val="none" w:sz="0" w:space="0" w:color="auto"/>
        <w:left w:val="none" w:sz="0" w:space="0" w:color="auto"/>
        <w:bottom w:val="none" w:sz="0" w:space="0" w:color="auto"/>
        <w:right w:val="none" w:sz="0" w:space="0" w:color="auto"/>
      </w:divBdr>
    </w:div>
    <w:div w:id="1269773443">
      <w:bodyDiv w:val="1"/>
      <w:marLeft w:val="0"/>
      <w:marRight w:val="0"/>
      <w:marTop w:val="0"/>
      <w:marBottom w:val="0"/>
      <w:divBdr>
        <w:top w:val="none" w:sz="0" w:space="0" w:color="auto"/>
        <w:left w:val="none" w:sz="0" w:space="0" w:color="auto"/>
        <w:bottom w:val="none" w:sz="0" w:space="0" w:color="auto"/>
        <w:right w:val="none" w:sz="0" w:space="0" w:color="auto"/>
      </w:divBdr>
    </w:div>
    <w:div w:id="1308590022">
      <w:bodyDiv w:val="1"/>
      <w:marLeft w:val="0"/>
      <w:marRight w:val="0"/>
      <w:marTop w:val="0"/>
      <w:marBottom w:val="0"/>
      <w:divBdr>
        <w:top w:val="none" w:sz="0" w:space="0" w:color="auto"/>
        <w:left w:val="none" w:sz="0" w:space="0" w:color="auto"/>
        <w:bottom w:val="none" w:sz="0" w:space="0" w:color="auto"/>
        <w:right w:val="none" w:sz="0" w:space="0" w:color="auto"/>
      </w:divBdr>
    </w:div>
    <w:div w:id="1325209833">
      <w:bodyDiv w:val="1"/>
      <w:marLeft w:val="0"/>
      <w:marRight w:val="0"/>
      <w:marTop w:val="0"/>
      <w:marBottom w:val="0"/>
      <w:divBdr>
        <w:top w:val="none" w:sz="0" w:space="0" w:color="auto"/>
        <w:left w:val="none" w:sz="0" w:space="0" w:color="auto"/>
        <w:bottom w:val="none" w:sz="0" w:space="0" w:color="auto"/>
        <w:right w:val="none" w:sz="0" w:space="0" w:color="auto"/>
      </w:divBdr>
    </w:div>
    <w:div w:id="1325625120">
      <w:bodyDiv w:val="1"/>
      <w:marLeft w:val="0"/>
      <w:marRight w:val="0"/>
      <w:marTop w:val="0"/>
      <w:marBottom w:val="0"/>
      <w:divBdr>
        <w:top w:val="none" w:sz="0" w:space="0" w:color="auto"/>
        <w:left w:val="none" w:sz="0" w:space="0" w:color="auto"/>
        <w:bottom w:val="none" w:sz="0" w:space="0" w:color="auto"/>
        <w:right w:val="none" w:sz="0" w:space="0" w:color="auto"/>
      </w:divBdr>
    </w:div>
    <w:div w:id="1360007920">
      <w:bodyDiv w:val="1"/>
      <w:marLeft w:val="0"/>
      <w:marRight w:val="0"/>
      <w:marTop w:val="0"/>
      <w:marBottom w:val="0"/>
      <w:divBdr>
        <w:top w:val="none" w:sz="0" w:space="0" w:color="auto"/>
        <w:left w:val="none" w:sz="0" w:space="0" w:color="auto"/>
        <w:bottom w:val="none" w:sz="0" w:space="0" w:color="auto"/>
        <w:right w:val="none" w:sz="0" w:space="0" w:color="auto"/>
      </w:divBdr>
    </w:div>
    <w:div w:id="1487434505">
      <w:bodyDiv w:val="1"/>
      <w:marLeft w:val="0"/>
      <w:marRight w:val="0"/>
      <w:marTop w:val="0"/>
      <w:marBottom w:val="0"/>
      <w:divBdr>
        <w:top w:val="none" w:sz="0" w:space="0" w:color="auto"/>
        <w:left w:val="none" w:sz="0" w:space="0" w:color="auto"/>
        <w:bottom w:val="none" w:sz="0" w:space="0" w:color="auto"/>
        <w:right w:val="none" w:sz="0" w:space="0" w:color="auto"/>
      </w:divBdr>
    </w:div>
    <w:div w:id="1516847214">
      <w:bodyDiv w:val="1"/>
      <w:marLeft w:val="0"/>
      <w:marRight w:val="0"/>
      <w:marTop w:val="0"/>
      <w:marBottom w:val="0"/>
      <w:divBdr>
        <w:top w:val="none" w:sz="0" w:space="0" w:color="auto"/>
        <w:left w:val="none" w:sz="0" w:space="0" w:color="auto"/>
        <w:bottom w:val="none" w:sz="0" w:space="0" w:color="auto"/>
        <w:right w:val="none" w:sz="0" w:space="0" w:color="auto"/>
      </w:divBdr>
    </w:div>
    <w:div w:id="1633058072">
      <w:bodyDiv w:val="1"/>
      <w:marLeft w:val="0"/>
      <w:marRight w:val="0"/>
      <w:marTop w:val="0"/>
      <w:marBottom w:val="0"/>
      <w:divBdr>
        <w:top w:val="none" w:sz="0" w:space="0" w:color="auto"/>
        <w:left w:val="none" w:sz="0" w:space="0" w:color="auto"/>
        <w:bottom w:val="none" w:sz="0" w:space="0" w:color="auto"/>
        <w:right w:val="none" w:sz="0" w:space="0" w:color="auto"/>
      </w:divBdr>
    </w:div>
    <w:div w:id="1653019983">
      <w:bodyDiv w:val="1"/>
      <w:marLeft w:val="0"/>
      <w:marRight w:val="0"/>
      <w:marTop w:val="0"/>
      <w:marBottom w:val="0"/>
      <w:divBdr>
        <w:top w:val="none" w:sz="0" w:space="0" w:color="auto"/>
        <w:left w:val="none" w:sz="0" w:space="0" w:color="auto"/>
        <w:bottom w:val="none" w:sz="0" w:space="0" w:color="auto"/>
        <w:right w:val="none" w:sz="0" w:space="0" w:color="auto"/>
      </w:divBdr>
    </w:div>
    <w:div w:id="1679699686">
      <w:bodyDiv w:val="1"/>
      <w:marLeft w:val="0"/>
      <w:marRight w:val="0"/>
      <w:marTop w:val="0"/>
      <w:marBottom w:val="0"/>
      <w:divBdr>
        <w:top w:val="none" w:sz="0" w:space="0" w:color="auto"/>
        <w:left w:val="none" w:sz="0" w:space="0" w:color="auto"/>
        <w:bottom w:val="none" w:sz="0" w:space="0" w:color="auto"/>
        <w:right w:val="none" w:sz="0" w:space="0" w:color="auto"/>
      </w:divBdr>
    </w:div>
    <w:div w:id="1720544502">
      <w:bodyDiv w:val="1"/>
      <w:marLeft w:val="0"/>
      <w:marRight w:val="0"/>
      <w:marTop w:val="0"/>
      <w:marBottom w:val="0"/>
      <w:divBdr>
        <w:top w:val="none" w:sz="0" w:space="0" w:color="auto"/>
        <w:left w:val="none" w:sz="0" w:space="0" w:color="auto"/>
        <w:bottom w:val="none" w:sz="0" w:space="0" w:color="auto"/>
        <w:right w:val="none" w:sz="0" w:space="0" w:color="auto"/>
      </w:divBdr>
    </w:div>
    <w:div w:id="1749577301">
      <w:bodyDiv w:val="1"/>
      <w:marLeft w:val="0"/>
      <w:marRight w:val="0"/>
      <w:marTop w:val="0"/>
      <w:marBottom w:val="0"/>
      <w:divBdr>
        <w:top w:val="none" w:sz="0" w:space="0" w:color="auto"/>
        <w:left w:val="none" w:sz="0" w:space="0" w:color="auto"/>
        <w:bottom w:val="none" w:sz="0" w:space="0" w:color="auto"/>
        <w:right w:val="none" w:sz="0" w:space="0" w:color="auto"/>
      </w:divBdr>
    </w:div>
    <w:div w:id="1759986791">
      <w:bodyDiv w:val="1"/>
      <w:marLeft w:val="0"/>
      <w:marRight w:val="0"/>
      <w:marTop w:val="0"/>
      <w:marBottom w:val="0"/>
      <w:divBdr>
        <w:top w:val="none" w:sz="0" w:space="0" w:color="auto"/>
        <w:left w:val="none" w:sz="0" w:space="0" w:color="auto"/>
        <w:bottom w:val="none" w:sz="0" w:space="0" w:color="auto"/>
        <w:right w:val="none" w:sz="0" w:space="0" w:color="auto"/>
      </w:divBdr>
    </w:div>
    <w:div w:id="1814909957">
      <w:bodyDiv w:val="1"/>
      <w:marLeft w:val="0"/>
      <w:marRight w:val="0"/>
      <w:marTop w:val="0"/>
      <w:marBottom w:val="0"/>
      <w:divBdr>
        <w:top w:val="none" w:sz="0" w:space="0" w:color="auto"/>
        <w:left w:val="none" w:sz="0" w:space="0" w:color="auto"/>
        <w:bottom w:val="none" w:sz="0" w:space="0" w:color="auto"/>
        <w:right w:val="none" w:sz="0" w:space="0" w:color="auto"/>
      </w:divBdr>
    </w:div>
    <w:div w:id="1854680371">
      <w:bodyDiv w:val="1"/>
      <w:marLeft w:val="0"/>
      <w:marRight w:val="0"/>
      <w:marTop w:val="0"/>
      <w:marBottom w:val="0"/>
      <w:divBdr>
        <w:top w:val="none" w:sz="0" w:space="0" w:color="auto"/>
        <w:left w:val="none" w:sz="0" w:space="0" w:color="auto"/>
        <w:bottom w:val="none" w:sz="0" w:space="0" w:color="auto"/>
        <w:right w:val="none" w:sz="0" w:space="0" w:color="auto"/>
      </w:divBdr>
    </w:div>
    <w:div w:id="1964843891">
      <w:bodyDiv w:val="1"/>
      <w:marLeft w:val="0"/>
      <w:marRight w:val="0"/>
      <w:marTop w:val="0"/>
      <w:marBottom w:val="0"/>
      <w:divBdr>
        <w:top w:val="none" w:sz="0" w:space="0" w:color="auto"/>
        <w:left w:val="none" w:sz="0" w:space="0" w:color="auto"/>
        <w:bottom w:val="none" w:sz="0" w:space="0" w:color="auto"/>
        <w:right w:val="none" w:sz="0" w:space="0" w:color="auto"/>
      </w:divBdr>
    </w:div>
    <w:div w:id="1995910948">
      <w:bodyDiv w:val="1"/>
      <w:marLeft w:val="0"/>
      <w:marRight w:val="0"/>
      <w:marTop w:val="0"/>
      <w:marBottom w:val="0"/>
      <w:divBdr>
        <w:top w:val="none" w:sz="0" w:space="0" w:color="auto"/>
        <w:left w:val="none" w:sz="0" w:space="0" w:color="auto"/>
        <w:bottom w:val="none" w:sz="0" w:space="0" w:color="auto"/>
        <w:right w:val="none" w:sz="0" w:space="0" w:color="auto"/>
      </w:divBdr>
    </w:div>
    <w:div w:id="2035836315">
      <w:bodyDiv w:val="1"/>
      <w:marLeft w:val="0"/>
      <w:marRight w:val="0"/>
      <w:marTop w:val="0"/>
      <w:marBottom w:val="0"/>
      <w:divBdr>
        <w:top w:val="none" w:sz="0" w:space="0" w:color="auto"/>
        <w:left w:val="none" w:sz="0" w:space="0" w:color="auto"/>
        <w:bottom w:val="none" w:sz="0" w:space="0" w:color="auto"/>
        <w:right w:val="none" w:sz="0" w:space="0" w:color="auto"/>
      </w:divBdr>
    </w:div>
    <w:div w:id="2040429072">
      <w:bodyDiv w:val="1"/>
      <w:marLeft w:val="0"/>
      <w:marRight w:val="0"/>
      <w:marTop w:val="0"/>
      <w:marBottom w:val="0"/>
      <w:divBdr>
        <w:top w:val="none" w:sz="0" w:space="0" w:color="auto"/>
        <w:left w:val="none" w:sz="0" w:space="0" w:color="auto"/>
        <w:bottom w:val="none" w:sz="0" w:space="0" w:color="auto"/>
        <w:right w:val="none" w:sz="0" w:space="0" w:color="auto"/>
      </w:divBdr>
    </w:div>
    <w:div w:id="20718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net.zoom.us/u/aXG2Cfz0i" TargetMode="External"/><Relationship Id="rId3" Type="http://schemas.openxmlformats.org/officeDocument/2006/relationships/styles" Target="styles.xml"/><Relationship Id="rId7" Type="http://schemas.openxmlformats.org/officeDocument/2006/relationships/hyperlink" Target="https://onenet.zoom.us/j/93193448170?pwd=cnl5Y2dVYWxaOERGdUxMUTErcVJt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jackson@osrh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s\AppData\Roaming\Microsoft\Templates\SR-AG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AC3B-6844-4C21-99CE-FF3B3243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SR-AGEND.DOT</Template>
  <TotalTime>47</TotalTime>
  <Pages>6</Pages>
  <Words>1852</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Board or Committee Agenda Items</vt:lpstr>
    </vt:vector>
  </TitlesOfParts>
  <Company>Oklahoma State Regents</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or Committee Agenda Items</dc:title>
  <dc:creator>ycollier@osrhe.edu</dc:creator>
  <cp:lastModifiedBy>Smith, Kylie</cp:lastModifiedBy>
  <cp:revision>4</cp:revision>
  <cp:lastPrinted>2015-02-17T17:35:00Z</cp:lastPrinted>
  <dcterms:created xsi:type="dcterms:W3CDTF">2024-02-16T20:45:00Z</dcterms:created>
  <dcterms:modified xsi:type="dcterms:W3CDTF">2024-02-21T19:17:00Z</dcterms:modified>
</cp:coreProperties>
</file>