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CAE4" w14:textId="77777777" w:rsidR="008739BE" w:rsidRDefault="0033609C" w:rsidP="0033609C">
      <w:pPr>
        <w:rPr>
          <w:b/>
          <w:bCs/>
        </w:rPr>
      </w:pPr>
      <w:r w:rsidRPr="0033609C">
        <w:rPr>
          <w:b/>
          <w:bCs/>
        </w:rPr>
        <w:t>TO:</w:t>
      </w:r>
      <w:r w:rsidRPr="0033609C">
        <w:t xml:space="preserve"> Council of Business Officers, Oklahoma State Regents for Higher Education </w:t>
      </w:r>
    </w:p>
    <w:p w14:paraId="2F99A643" w14:textId="77777777" w:rsidR="008739BE" w:rsidRDefault="0033609C" w:rsidP="0033609C">
      <w:r w:rsidRPr="0033609C">
        <w:rPr>
          <w:b/>
          <w:bCs/>
        </w:rPr>
        <w:t>DATE:</w:t>
      </w:r>
      <w:r w:rsidRPr="0033609C">
        <w:t xml:space="preserve"> February 1</w:t>
      </w:r>
      <w:r>
        <w:t>2</w:t>
      </w:r>
      <w:r w:rsidRPr="0033609C">
        <w:t xml:space="preserve">, 2026 </w:t>
      </w:r>
    </w:p>
    <w:p w14:paraId="67F44165" w14:textId="5DA57580" w:rsidR="0033609C" w:rsidRPr="0033609C" w:rsidRDefault="0033609C" w:rsidP="0033609C">
      <w:r w:rsidRPr="0033609C">
        <w:rPr>
          <w:b/>
          <w:bCs/>
        </w:rPr>
        <w:t>SUBJECT:</w:t>
      </w:r>
      <w:r w:rsidRPr="0033609C">
        <w:t xml:space="preserve"> Legislative Update</w:t>
      </w:r>
      <w:r>
        <w:t>s</w:t>
      </w:r>
      <w:r w:rsidRPr="0033609C">
        <w:t xml:space="preserve"> – February 2026 Meeting</w:t>
      </w:r>
    </w:p>
    <w:p w14:paraId="1193D8BF" w14:textId="2F1B8A9F" w:rsidR="0033609C" w:rsidRPr="0033609C" w:rsidRDefault="0033609C" w:rsidP="0033609C">
      <w:r w:rsidRPr="0033609C">
        <w:t>The following update outlines the Executive Orders issued this month, the current budget outlook, and specific legislative measures that will impact institutional operations and finance.</w:t>
      </w:r>
    </w:p>
    <w:p w14:paraId="6FEEE4A3" w14:textId="77777777" w:rsidR="0033609C" w:rsidRPr="0033609C" w:rsidRDefault="0033609C" w:rsidP="0033609C">
      <w:pPr>
        <w:rPr>
          <w:b/>
          <w:bCs/>
        </w:rPr>
      </w:pPr>
      <w:r w:rsidRPr="0033609C">
        <w:rPr>
          <w:b/>
          <w:bCs/>
        </w:rPr>
        <w:t>I. Executive Orders: Tenure and Performance-Based Funding</w:t>
      </w:r>
    </w:p>
    <w:p w14:paraId="3AC62578" w14:textId="04E728DB" w:rsidR="0033609C" w:rsidRPr="0033609C" w:rsidRDefault="0033609C" w:rsidP="0033609C">
      <w:r w:rsidRPr="0033609C">
        <w:t>Two Executive Orders (EO) were issued earlier this month.</w:t>
      </w:r>
    </w:p>
    <w:p w14:paraId="51CDECC5" w14:textId="383025F2" w:rsidR="0033609C" w:rsidRDefault="0033609C" w:rsidP="0033609C">
      <w:r w:rsidRPr="0033609C">
        <w:rPr>
          <w:b/>
          <w:bCs/>
        </w:rPr>
        <w:t>1. EO 2026-06: Tenure Reform</w:t>
      </w:r>
      <w:r w:rsidRPr="0033609C">
        <w:t xml:space="preserve"> </w:t>
      </w:r>
      <w:r w:rsidR="001A6AD8">
        <w:t xml:space="preserve">This order </w:t>
      </w:r>
      <w:r w:rsidRPr="0033609C">
        <w:t>restructur</w:t>
      </w:r>
      <w:r w:rsidR="001A6AD8">
        <w:t>es</w:t>
      </w:r>
      <w:r w:rsidRPr="0033609C">
        <w:t xml:space="preserve"> faculty employment based on institutional tier. </w:t>
      </w:r>
    </w:p>
    <w:p w14:paraId="10ED4BB4" w14:textId="09047934" w:rsidR="0033609C" w:rsidRPr="0033609C" w:rsidRDefault="0033609C" w:rsidP="0033609C">
      <w:r w:rsidRPr="0033609C">
        <w:rPr>
          <w:b/>
          <w:bCs/>
        </w:rPr>
        <w:t>EO 2026-07: Performance-Based Funding (PBF) &amp; Data</w:t>
      </w:r>
      <w:r w:rsidRPr="0033609C">
        <w:t xml:space="preserve"> This order directs the State Regents to develop a new </w:t>
      </w:r>
      <w:r w:rsidR="001A6AD8">
        <w:t>performance based formula</w:t>
      </w:r>
      <w:r w:rsidRPr="0033609C">
        <w:t xml:space="preserve"> plan by October 1, 2026, to maximize return on investment.</w:t>
      </w:r>
    </w:p>
    <w:p w14:paraId="7A7DE7E4" w14:textId="7B02A151" w:rsidR="0033609C" w:rsidRPr="0033609C" w:rsidRDefault="0033609C" w:rsidP="0033609C">
      <w:pPr>
        <w:numPr>
          <w:ilvl w:val="0"/>
          <w:numId w:val="2"/>
        </w:numPr>
      </w:pPr>
      <w:r w:rsidRPr="0033609C">
        <w:rPr>
          <w:b/>
          <w:bCs/>
        </w:rPr>
        <w:t>New Metrics:</w:t>
      </w:r>
      <w:r w:rsidRPr="0033609C">
        <w:t xml:space="preserve"> </w:t>
      </w:r>
      <w:r w:rsidR="000D6A65">
        <w:t xml:space="preserve">The order </w:t>
      </w:r>
      <w:r w:rsidRPr="0033609C">
        <w:t>tie</w:t>
      </w:r>
      <w:r w:rsidR="00357CDE">
        <w:t>s funding</w:t>
      </w:r>
      <w:r w:rsidRPr="0033609C">
        <w:t xml:space="preserve"> to workforce outcomes, research capability, affordability, and system efficiency.</w:t>
      </w:r>
    </w:p>
    <w:p w14:paraId="4B361C2D" w14:textId="171B2C52" w:rsidR="0033609C" w:rsidRPr="0033609C" w:rsidRDefault="0033609C" w:rsidP="0033609C">
      <w:pPr>
        <w:numPr>
          <w:ilvl w:val="0"/>
          <w:numId w:val="2"/>
        </w:numPr>
      </w:pPr>
      <w:r w:rsidRPr="0033609C">
        <w:rPr>
          <w:b/>
          <w:bCs/>
        </w:rPr>
        <w:t>90-Hour Degree Feasibility:</w:t>
      </w:r>
      <w:r w:rsidRPr="0033609C">
        <w:t xml:space="preserve"> The Regents are directed to conduct a feasibility study on 90-credit hour accelerated baccalaureate degrees, analyzing fiscal impacts and cost savings to students.</w:t>
      </w:r>
    </w:p>
    <w:p w14:paraId="75E3B80C" w14:textId="298DC4DB" w:rsidR="0033609C" w:rsidRPr="0033609C" w:rsidRDefault="0033609C" w:rsidP="0033609C">
      <w:pPr>
        <w:numPr>
          <w:ilvl w:val="0"/>
          <w:numId w:val="2"/>
        </w:numPr>
      </w:pPr>
      <w:r w:rsidRPr="0033609C">
        <w:rPr>
          <w:b/>
          <w:bCs/>
        </w:rPr>
        <w:t>Enhanced Data Collection:</w:t>
      </w:r>
      <w:r w:rsidRPr="0033609C">
        <w:t xml:space="preserve"> </w:t>
      </w:r>
      <w:r>
        <w:t>C</w:t>
      </w:r>
      <w:r w:rsidRPr="0033609C">
        <w:t>oordinat</w:t>
      </w:r>
      <w:r>
        <w:t>ion</w:t>
      </w:r>
      <w:r w:rsidRPr="0033609C">
        <w:t xml:space="preserve"> with the Oklahoma Employment Security Commission (OESC) to report enhanced wage records, including hours worked and zip codes of employment.</w:t>
      </w:r>
    </w:p>
    <w:p w14:paraId="3C188C10" w14:textId="77777777" w:rsidR="0033609C" w:rsidRPr="0033609C" w:rsidRDefault="0033609C" w:rsidP="0033609C">
      <w:pPr>
        <w:rPr>
          <w:b/>
          <w:bCs/>
        </w:rPr>
      </w:pPr>
      <w:r w:rsidRPr="0033609C">
        <w:rPr>
          <w:b/>
          <w:bCs/>
        </w:rPr>
        <w:t>II. Budget and Fiscal Outlook</w:t>
      </w:r>
    </w:p>
    <w:p w14:paraId="14C20447" w14:textId="4501574C" w:rsidR="0033609C" w:rsidRPr="0033609C" w:rsidRDefault="0033609C" w:rsidP="0033609C">
      <w:r w:rsidRPr="0033609C">
        <w:t xml:space="preserve">Legislative leadership </w:t>
      </w:r>
      <w:r>
        <w:t xml:space="preserve">and the Board of Equalization </w:t>
      </w:r>
      <w:r w:rsidRPr="0033609C">
        <w:t>ha</w:t>
      </w:r>
      <w:r>
        <w:t>ve</w:t>
      </w:r>
      <w:r w:rsidRPr="0033609C">
        <w:t xml:space="preserve"> signaled a cautious approach to the FY27 budget. </w:t>
      </w:r>
    </w:p>
    <w:p w14:paraId="782A696F" w14:textId="77777777" w:rsidR="00AE0574" w:rsidRPr="00AE0574" w:rsidRDefault="0033609C" w:rsidP="00AE0574">
      <w:pPr>
        <w:numPr>
          <w:ilvl w:val="0"/>
          <w:numId w:val="3"/>
        </w:numPr>
        <w:rPr>
          <w:b/>
          <w:bCs/>
        </w:rPr>
      </w:pPr>
      <w:r w:rsidRPr="0033609C">
        <w:rPr>
          <w:b/>
          <w:bCs/>
        </w:rPr>
        <w:t>Property Insurance:</w:t>
      </w:r>
      <w:r w:rsidRPr="0033609C">
        <w:t xml:space="preserve"> We have communicated that rising property insurance rates are a substantial expense across the state system. Stabilizing these rates remains a top legislative priority for</w:t>
      </w:r>
      <w:r>
        <w:t xml:space="preserve"> OSRHE</w:t>
      </w:r>
      <w:r w:rsidRPr="0033609C">
        <w:t>.</w:t>
      </w:r>
    </w:p>
    <w:p w14:paraId="084977DC" w14:textId="72A3275F" w:rsidR="0033609C" w:rsidRPr="0033609C" w:rsidRDefault="0033609C" w:rsidP="00AE0574">
      <w:pPr>
        <w:rPr>
          <w:b/>
          <w:bCs/>
        </w:rPr>
      </w:pPr>
      <w:r w:rsidRPr="0033609C">
        <w:rPr>
          <w:b/>
          <w:bCs/>
        </w:rPr>
        <w:t>III. Key Legislation and Policy Issues</w:t>
      </w:r>
    </w:p>
    <w:p w14:paraId="0587F1A4" w14:textId="54BAE598" w:rsidR="0033609C" w:rsidRPr="0033609C" w:rsidRDefault="0033609C" w:rsidP="0033609C">
      <w:r w:rsidRPr="0033609C">
        <w:rPr>
          <w:b/>
          <w:bCs/>
        </w:rPr>
        <w:t xml:space="preserve">Housing and Dining Contracts </w:t>
      </w:r>
      <w:r w:rsidRPr="0033609C">
        <w:t>Legislation regarding the "decoupling" of housing and dining contracts remains alive from the previous session.</w:t>
      </w:r>
    </w:p>
    <w:p w14:paraId="03FDCC90" w14:textId="77777777" w:rsidR="0033609C" w:rsidRPr="0033609C" w:rsidRDefault="0033609C" w:rsidP="0033609C">
      <w:r w:rsidRPr="0033609C">
        <w:rPr>
          <w:b/>
          <w:bCs/>
        </w:rPr>
        <w:lastRenderedPageBreak/>
        <w:t>Academic and Student Support Legislation</w:t>
      </w:r>
    </w:p>
    <w:p w14:paraId="3A9D6A02" w14:textId="77777777" w:rsidR="0033609C" w:rsidRPr="0033609C" w:rsidRDefault="0033609C" w:rsidP="0033609C">
      <w:pPr>
        <w:numPr>
          <w:ilvl w:val="0"/>
          <w:numId w:val="5"/>
        </w:numPr>
      </w:pPr>
      <w:r w:rsidRPr="0033609C">
        <w:rPr>
          <w:b/>
          <w:bCs/>
        </w:rPr>
        <w:t>Oklahoma’s Promise:</w:t>
      </w:r>
      <w:r w:rsidRPr="0033609C">
        <w:t xml:space="preserve"> We are pursuing legislation to increase the annual family income limit to $100,000 to expand access.</w:t>
      </w:r>
    </w:p>
    <w:p w14:paraId="43F8A352" w14:textId="77777777" w:rsidR="0033609C" w:rsidRPr="0033609C" w:rsidRDefault="0033609C" w:rsidP="0033609C">
      <w:pPr>
        <w:numPr>
          <w:ilvl w:val="0"/>
          <w:numId w:val="5"/>
        </w:numPr>
      </w:pPr>
      <w:r w:rsidRPr="0033609C">
        <w:rPr>
          <w:b/>
          <w:bCs/>
        </w:rPr>
        <w:t>Concurrent Enrollment:</w:t>
      </w:r>
      <w:r w:rsidRPr="0033609C">
        <w:t xml:space="preserve"> We are supporting SB 1477, which establishes guardrails to ensure concurrent enrollment benefits the target demographic (high school students) rather than adult learners, while also seeking to establish an age limit of 21 for eligibility.</w:t>
      </w:r>
    </w:p>
    <w:p w14:paraId="349E5D67" w14:textId="77777777" w:rsidR="0033609C" w:rsidRPr="0033609C" w:rsidRDefault="0033609C" w:rsidP="0033609C">
      <w:pPr>
        <w:numPr>
          <w:ilvl w:val="0"/>
          <w:numId w:val="5"/>
        </w:numPr>
      </w:pPr>
      <w:r w:rsidRPr="0033609C">
        <w:rPr>
          <w:b/>
          <w:bCs/>
        </w:rPr>
        <w:t>"Inspired to Teach":</w:t>
      </w:r>
      <w:r w:rsidRPr="0033609C">
        <w:t xml:space="preserve"> SB 1546 proposes doubling the scholarship award amount for this program, which has been successful in building the teacher pipeline, though there are ongoing discussions regarding a potential name change for the program.</w:t>
      </w:r>
    </w:p>
    <w:p w14:paraId="4CCD603F" w14:textId="0E0B1652" w:rsidR="0033609C" w:rsidRPr="0033609C" w:rsidRDefault="0033609C" w:rsidP="0033609C">
      <w:pPr>
        <w:rPr>
          <w:b/>
          <w:bCs/>
        </w:rPr>
      </w:pPr>
      <w:r w:rsidRPr="0033609C">
        <w:rPr>
          <w:b/>
          <w:bCs/>
        </w:rPr>
        <w:t xml:space="preserve">IV. </w:t>
      </w:r>
      <w:r w:rsidR="00173628">
        <w:rPr>
          <w:b/>
          <w:bCs/>
        </w:rPr>
        <w:t>Shared Services and Efficiencies Are a Top Priority</w:t>
      </w:r>
    </w:p>
    <w:p w14:paraId="4FB9C398" w14:textId="48DA0349" w:rsidR="0033609C" w:rsidRPr="0033609C" w:rsidRDefault="0033609C" w:rsidP="0033609C">
      <w:r w:rsidRPr="0033609C">
        <w:t xml:space="preserve">We must continue to demonstrate that we are not passive recipients of state dollars but active partners in driving Oklahoma's economy. When engaging with your local delegation, please </w:t>
      </w:r>
      <w:r w:rsidR="000D5453">
        <w:t xml:space="preserve">emphasize </w:t>
      </w:r>
      <w:r>
        <w:t xml:space="preserve">the pursuit of efficiencies </w:t>
      </w:r>
      <w:r w:rsidRPr="0033609C">
        <w:t>and internal innovations you have undertaken to manage costs.</w:t>
      </w:r>
    </w:p>
    <w:p w14:paraId="660CFB17" w14:textId="77777777" w:rsidR="00990D2A" w:rsidRDefault="00990D2A"/>
    <w:sectPr w:rsidR="00990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A702A"/>
    <w:multiLevelType w:val="multilevel"/>
    <w:tmpl w:val="71EC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03C84"/>
    <w:multiLevelType w:val="multilevel"/>
    <w:tmpl w:val="BDF0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77177"/>
    <w:multiLevelType w:val="multilevel"/>
    <w:tmpl w:val="483C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E5210"/>
    <w:multiLevelType w:val="multilevel"/>
    <w:tmpl w:val="EB9E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C744D2"/>
    <w:multiLevelType w:val="multilevel"/>
    <w:tmpl w:val="C114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237213">
    <w:abstractNumId w:val="4"/>
  </w:num>
  <w:num w:numId="2" w16cid:durableId="156842709">
    <w:abstractNumId w:val="0"/>
  </w:num>
  <w:num w:numId="3" w16cid:durableId="522286025">
    <w:abstractNumId w:val="1"/>
  </w:num>
  <w:num w:numId="4" w16cid:durableId="1781340883">
    <w:abstractNumId w:val="2"/>
  </w:num>
  <w:num w:numId="5" w16cid:durableId="1206213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9C"/>
    <w:rsid w:val="000D5453"/>
    <w:rsid w:val="000D6A65"/>
    <w:rsid w:val="00173628"/>
    <w:rsid w:val="001A6AD8"/>
    <w:rsid w:val="0033609C"/>
    <w:rsid w:val="00357CDE"/>
    <w:rsid w:val="003812B0"/>
    <w:rsid w:val="00674B02"/>
    <w:rsid w:val="008739BE"/>
    <w:rsid w:val="00990D2A"/>
    <w:rsid w:val="00AE0574"/>
    <w:rsid w:val="00DB3FFE"/>
    <w:rsid w:val="00EC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361A"/>
  <w15:chartTrackingRefBased/>
  <w15:docId w15:val="{7BEB63A1-B14E-4946-886E-C6A78DB4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09C"/>
    <w:rPr>
      <w:rFonts w:eastAsiaTheme="majorEastAsia" w:cstheme="majorBidi"/>
      <w:color w:val="272727" w:themeColor="text1" w:themeTint="D8"/>
    </w:rPr>
  </w:style>
  <w:style w:type="paragraph" w:styleId="Title">
    <w:name w:val="Title"/>
    <w:basedOn w:val="Normal"/>
    <w:next w:val="Normal"/>
    <w:link w:val="TitleChar"/>
    <w:uiPriority w:val="10"/>
    <w:qFormat/>
    <w:rsid w:val="00336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09C"/>
    <w:pPr>
      <w:spacing w:before="160"/>
      <w:jc w:val="center"/>
    </w:pPr>
    <w:rPr>
      <w:i/>
      <w:iCs/>
      <w:color w:val="404040" w:themeColor="text1" w:themeTint="BF"/>
    </w:rPr>
  </w:style>
  <w:style w:type="character" w:customStyle="1" w:styleId="QuoteChar">
    <w:name w:val="Quote Char"/>
    <w:basedOn w:val="DefaultParagraphFont"/>
    <w:link w:val="Quote"/>
    <w:uiPriority w:val="29"/>
    <w:rsid w:val="0033609C"/>
    <w:rPr>
      <w:i/>
      <w:iCs/>
      <w:color w:val="404040" w:themeColor="text1" w:themeTint="BF"/>
    </w:rPr>
  </w:style>
  <w:style w:type="paragraph" w:styleId="ListParagraph">
    <w:name w:val="List Paragraph"/>
    <w:basedOn w:val="Normal"/>
    <w:uiPriority w:val="34"/>
    <w:qFormat/>
    <w:rsid w:val="0033609C"/>
    <w:pPr>
      <w:ind w:left="720"/>
      <w:contextualSpacing/>
    </w:pPr>
  </w:style>
  <w:style w:type="character" w:styleId="IntenseEmphasis">
    <w:name w:val="Intense Emphasis"/>
    <w:basedOn w:val="DefaultParagraphFont"/>
    <w:uiPriority w:val="21"/>
    <w:qFormat/>
    <w:rsid w:val="0033609C"/>
    <w:rPr>
      <w:i/>
      <w:iCs/>
      <w:color w:val="0F4761" w:themeColor="accent1" w:themeShade="BF"/>
    </w:rPr>
  </w:style>
  <w:style w:type="paragraph" w:styleId="IntenseQuote">
    <w:name w:val="Intense Quote"/>
    <w:basedOn w:val="Normal"/>
    <w:next w:val="Normal"/>
    <w:link w:val="IntenseQuoteChar"/>
    <w:uiPriority w:val="30"/>
    <w:qFormat/>
    <w:rsid w:val="00336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09C"/>
    <w:rPr>
      <w:i/>
      <w:iCs/>
      <w:color w:val="0F4761" w:themeColor="accent1" w:themeShade="BF"/>
    </w:rPr>
  </w:style>
  <w:style w:type="character" w:styleId="IntenseReference">
    <w:name w:val="Intense Reference"/>
    <w:basedOn w:val="DefaultParagraphFont"/>
    <w:uiPriority w:val="32"/>
    <w:qFormat/>
    <w:rsid w:val="003360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2b8a51b-08d1-4d14-a7b4-ff767462a449}" enabled="1" method="Standard" siteId="{f3996c88-1035-4508-9259-b125f4c50b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392</Words>
  <Characters>2374</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Hathaway, Nick</dc:creator>
  <cp:keywords/>
  <dc:description/>
  <cp:lastModifiedBy>Hathaway, Nick</cp:lastModifiedBy>
  <cp:revision>10</cp:revision>
  <dcterms:created xsi:type="dcterms:W3CDTF">2026-02-11T22:34:00Z</dcterms:created>
  <dcterms:modified xsi:type="dcterms:W3CDTF">2026-02-11T22:58:00Z</dcterms:modified>
</cp:coreProperties>
</file>