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0F61" w14:textId="7F058C4A" w:rsidR="00053265" w:rsidRDefault="00C63E7A" w:rsidP="00053265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b/>
          <w:bCs/>
          <w:color w:val="262626"/>
          <w:sz w:val="32"/>
          <w:szCs w:val="32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32"/>
          <w:szCs w:val="32"/>
        </w:rPr>
        <w:t>AARP Community Challenge</w:t>
      </w:r>
    </w:p>
    <w:p w14:paraId="12E3F470" w14:textId="18A03779" w:rsidR="00053265" w:rsidRPr="00053265" w:rsidRDefault="00053265" w:rsidP="00053265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color w:val="262626"/>
          <w:sz w:val="28"/>
          <w:szCs w:val="28"/>
        </w:rPr>
      </w:pPr>
      <w:r w:rsidRPr="00053265">
        <w:rPr>
          <w:rFonts w:ascii="Helvetica" w:eastAsia="Times New Roman" w:hAnsi="Helvetica" w:cs="Helvetica"/>
          <w:color w:val="262626"/>
          <w:sz w:val="28"/>
          <w:szCs w:val="28"/>
        </w:rPr>
        <w:t>(Requirements will not change for 2023)</w:t>
      </w:r>
    </w:p>
    <w:p w14:paraId="5B80937B" w14:textId="77777777" w:rsidR="004D691B" w:rsidRPr="00053265" w:rsidRDefault="004D691B" w:rsidP="00C63E7A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color w:val="262626"/>
          <w:sz w:val="20"/>
          <w:szCs w:val="20"/>
        </w:rPr>
      </w:pPr>
    </w:p>
    <w:p w14:paraId="64B2E092" w14:textId="1181B5D6" w:rsid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The </w:t>
      </w: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AARP Community Challenge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 xml:space="preserve"> provides small grants to fund quick-action projects that can help communities become more livable for people of all ages. </w:t>
      </w:r>
    </w:p>
    <w:p w14:paraId="1485D863" w14:textId="634A6115" w:rsidR="00F352F5" w:rsidRP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>
        <w:rPr>
          <w:rFonts w:ascii="Helvetica" w:eastAsia="Times New Roman" w:hAnsi="Helvetica" w:cs="Helvetica"/>
          <w:color w:val="262626"/>
          <w:sz w:val="24"/>
          <w:szCs w:val="24"/>
        </w:rPr>
        <w:t>A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 xml:space="preserve">pplications will be accepted for projects to improve public spaces, housing, transportation and civic engagement; support diversity, equity and inclusion; build engagement for programs under new federal laws; and pursue innovative ideas that support people </w:t>
      </w:r>
      <w:proofErr w:type="gramStart"/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age</w:t>
      </w:r>
      <w:proofErr w:type="gramEnd"/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 xml:space="preserve"> 50 or older.</w:t>
      </w:r>
    </w:p>
    <w:p w14:paraId="293C74D8" w14:textId="77777777" w:rsidR="00F352F5" w:rsidRPr="00F352F5" w:rsidRDefault="00F352F5" w:rsidP="00F352F5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Helvetica"/>
          <w:b/>
          <w:bCs/>
          <w:color w:val="262626"/>
          <w:sz w:val="24"/>
          <w:szCs w:val="24"/>
        </w:rPr>
      </w:pPr>
      <w:r w:rsidRPr="00F352F5">
        <w:rPr>
          <w:rFonts w:ascii="inherit" w:eastAsia="Times New Roman" w:hAnsi="inherit" w:cs="Helvetica"/>
          <w:b/>
          <w:bCs/>
          <w:color w:val="262626"/>
          <w:sz w:val="24"/>
          <w:szCs w:val="24"/>
        </w:rPr>
        <w:t>Important Dates in 2022</w:t>
      </w:r>
    </w:p>
    <w:p w14:paraId="0F5B5053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January 25: 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Application window opened</w:t>
      </w:r>
    </w:p>
    <w:p w14:paraId="3D252910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February 17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: Webinar Q&amp;A about completing the application</w:t>
      </w:r>
    </w:p>
    <w:p w14:paraId="55A52B65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March 22: 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Applications were due by 5 p.m. (ET)</w:t>
      </w:r>
    </w:p>
    <w:p w14:paraId="3C7EA0B3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Mid-May: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All applicants were notified by email of their status</w:t>
      </w:r>
    </w:p>
    <w:p w14:paraId="60E7D927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June 29: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</w:t>
      </w:r>
      <w:hyperlink r:id="rId5" w:tooltip="The 2022 AARP Community Challenge grantees" w:history="1">
        <w:r w:rsidRPr="00F352F5">
          <w:rPr>
            <w:rFonts w:ascii="Helvetica" w:eastAsia="Times New Roman" w:hAnsi="Helvetica" w:cs="Helvetica"/>
            <w:b/>
            <w:bCs/>
            <w:color w:val="2F7899"/>
            <w:sz w:val="24"/>
            <w:szCs w:val="24"/>
          </w:rPr>
          <w:t>Public announcement of the selected grantees</w:t>
        </w:r>
      </w:hyperlink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— and work on the projects begin!</w:t>
      </w:r>
    </w:p>
    <w:p w14:paraId="39829D1D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November 30: 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All funded projects must be completed </w:t>
      </w:r>
    </w:p>
    <w:p w14:paraId="62D2233F" w14:textId="77777777" w:rsidR="00F352F5" w:rsidRPr="00F352F5" w:rsidRDefault="00F352F5" w:rsidP="00F3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December 31: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Deadline for after-action reports </w:t>
      </w:r>
    </w:p>
    <w:p w14:paraId="329F0D31" w14:textId="77777777" w:rsidR="00F352F5" w:rsidRP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Applicants and others with questions can email </w:t>
      </w:r>
      <w:hyperlink r:id="rId6" w:tgtFrame="_blank" w:history="1">
        <w:r w:rsidRPr="00F352F5">
          <w:rPr>
            <w:rFonts w:ascii="Helvetica" w:eastAsia="Times New Roman" w:hAnsi="Helvetica" w:cs="Helvetica"/>
            <w:b/>
            <w:bCs/>
            <w:i/>
            <w:iCs/>
            <w:color w:val="2F7899"/>
            <w:sz w:val="24"/>
            <w:szCs w:val="24"/>
          </w:rPr>
          <w:t>CommunityChallenge@AARP.org</w:t>
        </w:r>
      </w:hyperlink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.</w:t>
      </w:r>
    </w:p>
    <w:p w14:paraId="3AB2531D" w14:textId="77777777" w:rsidR="00F352F5" w:rsidRPr="00053265" w:rsidRDefault="00F352F5" w:rsidP="00F352F5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Helvetica"/>
          <w:b/>
          <w:bCs/>
          <w:color w:val="262626"/>
          <w:sz w:val="10"/>
          <w:szCs w:val="10"/>
        </w:rPr>
      </w:pPr>
    </w:p>
    <w:p w14:paraId="4CCE832F" w14:textId="34870407" w:rsidR="00F352F5" w:rsidRPr="00F352F5" w:rsidRDefault="00F352F5" w:rsidP="00F352F5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Helvetica"/>
          <w:b/>
          <w:bCs/>
          <w:color w:val="262626"/>
          <w:sz w:val="24"/>
          <w:szCs w:val="24"/>
        </w:rPr>
      </w:pPr>
      <w:r w:rsidRPr="00F352F5">
        <w:rPr>
          <w:rFonts w:ascii="inherit" w:eastAsia="Times New Roman" w:hAnsi="inherit" w:cs="Helvetica"/>
          <w:b/>
          <w:bCs/>
          <w:color w:val="262626"/>
          <w:sz w:val="24"/>
          <w:szCs w:val="24"/>
        </w:rPr>
        <w:t>Eligibility</w:t>
      </w:r>
    </w:p>
    <w:p w14:paraId="298B8342" w14:textId="77777777" w:rsidR="00F352F5" w:rsidRP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The program is open to the following types of programs:</w:t>
      </w:r>
    </w:p>
    <w:p w14:paraId="68374501" w14:textId="77777777" w:rsidR="00F352F5" w:rsidRPr="00F352F5" w:rsidRDefault="00F352F5" w:rsidP="00F3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501(C)(3), 501(C)(4) and 501(c)(6) nonprofits </w:t>
      </w:r>
    </w:p>
    <w:p w14:paraId="2B5F22E3" w14:textId="77777777" w:rsidR="00F352F5" w:rsidRPr="00F352F5" w:rsidRDefault="00F352F5" w:rsidP="00F3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Government entities</w:t>
      </w:r>
    </w:p>
    <w:p w14:paraId="7BCA2B0A" w14:textId="77777777" w:rsidR="00F352F5" w:rsidRPr="00F352F5" w:rsidRDefault="00F352F5" w:rsidP="00F3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Other types of organizations will be considered on a case-by-case basis</w:t>
      </w:r>
    </w:p>
    <w:p w14:paraId="15E210E7" w14:textId="77777777" w:rsidR="00F352F5" w:rsidRP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The following projects are </w:t>
      </w:r>
      <w:r w:rsidRPr="00F352F5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</w:rPr>
        <w:t>NOT</w:t>
      </w: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 eligible for funding:</w:t>
      </w:r>
    </w:p>
    <w:p w14:paraId="1CAF218C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Partisan, political or election-related activities</w:t>
      </w:r>
    </w:p>
    <w:p w14:paraId="05A6B11C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Planning activities and assessments and surveys of communities without tangible engagement</w:t>
      </w:r>
    </w:p>
    <w:p w14:paraId="66E529F4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Studies with no follow-up action</w:t>
      </w:r>
    </w:p>
    <w:p w14:paraId="00876AFC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Publication of books or reports</w:t>
      </w:r>
    </w:p>
    <w:p w14:paraId="661FE3E4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Acquisition of land and/or buildings or a vehicle purchase</w:t>
      </w:r>
    </w:p>
    <w:p w14:paraId="70769152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Sponsorships of other organizations’ events or activities</w:t>
      </w:r>
    </w:p>
    <w:p w14:paraId="0FB1E6E3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Research and development for a nonprofit endeavor</w:t>
      </w:r>
    </w:p>
    <w:p w14:paraId="36F33BC0" w14:textId="77777777" w:rsidR="00F352F5" w:rsidRP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Research and development for a for-profit endeavor</w:t>
      </w:r>
    </w:p>
    <w:p w14:paraId="2C4811D0" w14:textId="377B5139" w:rsidR="00F352F5" w:rsidRDefault="00F352F5" w:rsidP="00F3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The promotion of a for-profit entity and/or its products and services</w:t>
      </w:r>
    </w:p>
    <w:p w14:paraId="51B875D0" w14:textId="77777777" w:rsidR="00F352F5" w:rsidRPr="00F352F5" w:rsidRDefault="00F352F5" w:rsidP="00F352F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lastRenderedPageBreak/>
        <w:t>The selected projects are designed to achieve one or more of the following outcomes:</w:t>
      </w:r>
    </w:p>
    <w:p w14:paraId="2C8C98AF" w14:textId="77777777" w:rsidR="00F352F5" w:rsidRPr="00F352F5" w:rsidRDefault="00F352F5" w:rsidP="00F3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Create vibrant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Public Places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 xml:space="preserve"> that improve open spaces, </w:t>
      </w:r>
      <w:proofErr w:type="gramStart"/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parks</w:t>
      </w:r>
      <w:proofErr w:type="gramEnd"/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 xml:space="preserve"> and access to other amenities</w:t>
      </w:r>
    </w:p>
    <w:p w14:paraId="28CA4F89" w14:textId="0B33FA19" w:rsidR="00F352F5" w:rsidRPr="00F352F5" w:rsidRDefault="00F352F5" w:rsidP="00F3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Deliver a range of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Transportation and Mobility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options that increase connectivity, walkability, bike ability, wayfinding, access to transportation options and roadway improvements</w:t>
      </w:r>
    </w:p>
    <w:p w14:paraId="745A0C10" w14:textId="77777777" w:rsidR="00F352F5" w:rsidRPr="00F352F5" w:rsidRDefault="00F352F5" w:rsidP="00F3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Support a range of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Housing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options that increases the availability of accessible and affordable choices</w:t>
      </w:r>
    </w:p>
    <w:p w14:paraId="3D8DC516" w14:textId="77777777" w:rsidR="00F352F5" w:rsidRPr="00F352F5" w:rsidRDefault="00F352F5" w:rsidP="00F3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Ensure a focus on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Diversity, Equity and Inclusion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while improving the Built and Social Environment of a community</w:t>
      </w:r>
    </w:p>
    <w:p w14:paraId="6A09FDFE" w14:textId="77777777" w:rsidR="00F352F5" w:rsidRPr="00F352F5" w:rsidRDefault="00F352F5" w:rsidP="00F3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Support communities’ efforts to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Build Engagement and Leverage</w:t>
      </w: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 xml:space="preserve"> </w:t>
      </w:r>
      <w:r w:rsidRPr="004D691B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Funding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available under new federal programs through laws including the American Rescue Plan Act, the Infrastructure Investment and Jobs Act, and more</w:t>
      </w:r>
    </w:p>
    <w:p w14:paraId="1C61E519" w14:textId="77777777" w:rsidR="00F352F5" w:rsidRPr="00F352F5" w:rsidRDefault="00F352F5" w:rsidP="00F3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Increase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Civic Engagement</w:t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 with innovative and tangible projects that bring residents and local leaders together to address challenges and facilitate a greater sense of inclusion</w:t>
      </w:r>
    </w:p>
    <w:p w14:paraId="1AAB46F4" w14:textId="293CDB09" w:rsidR="00F352F5" w:rsidRPr="00F352F5" w:rsidRDefault="00F352F5" w:rsidP="001B75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Other community improvements, including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Health Services</w:t>
      </w:r>
      <w:r w:rsidRPr="00F352F5">
        <w:rPr>
          <w:rFonts w:ascii="Helvetica" w:eastAsia="Times New Roman" w:hAnsi="Helvetica" w:cs="Helvetica"/>
          <w:color w:val="FF0000"/>
          <w:sz w:val="24"/>
          <w:szCs w:val="24"/>
        </w:rPr>
        <w:t>,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Community Development</w:t>
      </w:r>
      <w:r w:rsidRPr="00F352F5">
        <w:rPr>
          <w:rFonts w:ascii="Helvetica" w:eastAsia="Times New Roman" w:hAnsi="Helvetica" w:cs="Helvetica"/>
          <w:color w:val="FF0000"/>
          <w:sz w:val="24"/>
          <w:szCs w:val="24"/>
        </w:rPr>
        <w:t>, and </w:t>
      </w:r>
      <w:r w:rsidRPr="00F352F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Coronavirus Pandemic Recovery</w:t>
      </w:r>
    </w:p>
    <w:p w14:paraId="18552473" w14:textId="77777777" w:rsidR="00F352F5" w:rsidRPr="00F352F5" w:rsidRDefault="00F352F5" w:rsidP="00F352F5">
      <w:pPr>
        <w:shd w:val="clear" w:color="auto" w:fill="FFFFFF"/>
        <w:spacing w:before="165" w:after="165" w:line="240" w:lineRule="auto"/>
        <w:outlineLvl w:val="3"/>
        <w:rPr>
          <w:rFonts w:ascii="Helvetica" w:eastAsia="Times New Roman" w:hAnsi="Helvetica" w:cs="Helvetica"/>
          <w:b/>
          <w:bCs/>
          <w:color w:val="262626"/>
          <w:sz w:val="30"/>
          <w:szCs w:val="30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30"/>
          <w:szCs w:val="30"/>
        </w:rPr>
        <w:t>Oklahoma</w:t>
      </w:r>
    </w:p>
    <w:p w14:paraId="15640222" w14:textId="77777777" w:rsidR="00F352F5" w:rsidRPr="00F352F5" w:rsidRDefault="00F352F5" w:rsidP="00F352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Cheyenne: </w:t>
      </w:r>
      <w:hyperlink r:id="rId7" w:tgtFrame="_blank" w:tooltip="https://www.facebook.com/friendsoftherook" w:history="1">
        <w:r w:rsidRPr="00F352F5">
          <w:rPr>
            <w:rFonts w:ascii="Helvetica" w:eastAsia="Times New Roman" w:hAnsi="Helvetica" w:cs="Helvetica"/>
            <w:b/>
            <w:bCs/>
            <w:color w:val="2F7899"/>
            <w:sz w:val="24"/>
            <w:szCs w:val="24"/>
            <w:u w:val="single"/>
          </w:rPr>
          <w:t>The Rook</w:t>
        </w:r>
      </w:hyperlink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br/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This project will turn a temporary wood wheelchair ramps into a permanent wheelchair access for the lower level by installing a mechanical lift.</w:t>
      </w:r>
    </w:p>
    <w:p w14:paraId="38B2883A" w14:textId="77777777" w:rsidR="00F352F5" w:rsidRPr="00F352F5" w:rsidRDefault="00F352F5" w:rsidP="00F35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McAlester: </w:t>
      </w:r>
      <w:hyperlink r:id="rId8" w:tgtFrame="_blank" w:tooltip="Learn more about the City fo McAlester" w:history="1">
        <w:r w:rsidRPr="00F352F5">
          <w:rPr>
            <w:rFonts w:ascii="Helvetica" w:eastAsia="Times New Roman" w:hAnsi="Helvetica" w:cs="Helvetica"/>
            <w:b/>
            <w:bCs/>
            <w:color w:val="2F7899"/>
            <w:sz w:val="24"/>
            <w:szCs w:val="24"/>
            <w:u w:val="single"/>
          </w:rPr>
          <w:t>City of McAlester</w:t>
        </w:r>
      </w:hyperlink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br/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 tennis court at William P. Mullen Park will be converted to two pickleball courts with the help of local players.</w:t>
      </w:r>
    </w:p>
    <w:p w14:paraId="3420E38D" w14:textId="77777777" w:rsidR="00F352F5" w:rsidRPr="00F352F5" w:rsidRDefault="00F352F5" w:rsidP="00F3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Nowata: </w:t>
      </w:r>
      <w:hyperlink r:id="rId9" w:tgtFrame="_blank" w:tooltip="https://www.facebook.com/Nowata-CAN-Community-Advancement-Network-205320492828807" w:history="1">
        <w:r w:rsidRPr="00F352F5">
          <w:rPr>
            <w:rFonts w:ascii="Helvetica" w:eastAsia="Times New Roman" w:hAnsi="Helvetica" w:cs="Helvetica"/>
            <w:b/>
            <w:bCs/>
            <w:color w:val="2F7899"/>
            <w:sz w:val="24"/>
            <w:szCs w:val="24"/>
            <w:u w:val="single"/>
          </w:rPr>
          <w:t>Nowata CAN, Inc.</w:t>
        </w:r>
      </w:hyperlink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br/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An alleyway previously adorned with several murals will receive further enhancement with ADA-compliant benches, tables, lighting, planters and a small stage.</w:t>
      </w:r>
    </w:p>
    <w:p w14:paraId="432AD810" w14:textId="27987C9E" w:rsidR="0009337C" w:rsidRPr="00F352F5" w:rsidRDefault="00F352F5" w:rsidP="002078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t>Wellston: </w:t>
      </w:r>
      <w:hyperlink r:id="rId10" w:tgtFrame="_blank" w:tooltip="Learn more about the Town of Wellston" w:history="1">
        <w:r w:rsidRPr="00F352F5">
          <w:rPr>
            <w:rFonts w:ascii="Helvetica" w:eastAsia="Times New Roman" w:hAnsi="Helvetica" w:cs="Helvetica"/>
            <w:b/>
            <w:bCs/>
            <w:color w:val="2F7899"/>
            <w:sz w:val="24"/>
            <w:szCs w:val="24"/>
            <w:u w:val="single"/>
          </w:rPr>
          <w:t>Town of Wellston</w:t>
        </w:r>
      </w:hyperlink>
      <w:r w:rsidRPr="00F352F5">
        <w:rPr>
          <w:rFonts w:ascii="Helvetica" w:eastAsia="Times New Roman" w:hAnsi="Helvetica" w:cs="Helvetica"/>
          <w:b/>
          <w:bCs/>
          <w:color w:val="262626"/>
          <w:sz w:val="24"/>
          <w:szCs w:val="24"/>
        </w:rPr>
        <w:br/>
      </w:r>
      <w:r w:rsidRPr="00F352F5">
        <w:rPr>
          <w:rFonts w:ascii="Helvetica" w:eastAsia="Times New Roman" w:hAnsi="Helvetica" w:cs="Helvetica"/>
          <w:color w:val="262626"/>
          <w:sz w:val="24"/>
          <w:szCs w:val="24"/>
        </w:rPr>
        <w:t>AARP funding will contribute to the upgrading of the park area, which will gain a walking trail, tables and benches, games, and improved pavilion restrooms.</w:t>
      </w:r>
    </w:p>
    <w:sectPr w:rsidR="0009337C" w:rsidRPr="00F3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FBB"/>
    <w:multiLevelType w:val="multilevel"/>
    <w:tmpl w:val="478C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658BB"/>
    <w:multiLevelType w:val="multilevel"/>
    <w:tmpl w:val="A83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DCF"/>
    <w:multiLevelType w:val="multilevel"/>
    <w:tmpl w:val="BC8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42A60"/>
    <w:multiLevelType w:val="multilevel"/>
    <w:tmpl w:val="CAD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D1AA2"/>
    <w:multiLevelType w:val="multilevel"/>
    <w:tmpl w:val="EEB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65E78"/>
    <w:multiLevelType w:val="multilevel"/>
    <w:tmpl w:val="BA0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30254"/>
    <w:multiLevelType w:val="multilevel"/>
    <w:tmpl w:val="DDA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92CDA"/>
    <w:multiLevelType w:val="multilevel"/>
    <w:tmpl w:val="C2B0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13064"/>
    <w:multiLevelType w:val="multilevel"/>
    <w:tmpl w:val="6BF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06F9E"/>
    <w:multiLevelType w:val="multilevel"/>
    <w:tmpl w:val="C42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A58C3"/>
    <w:multiLevelType w:val="multilevel"/>
    <w:tmpl w:val="FDC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35D73"/>
    <w:multiLevelType w:val="multilevel"/>
    <w:tmpl w:val="80BA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F0F9B"/>
    <w:multiLevelType w:val="multilevel"/>
    <w:tmpl w:val="C7D0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43362"/>
    <w:multiLevelType w:val="multilevel"/>
    <w:tmpl w:val="CA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061DA"/>
    <w:multiLevelType w:val="multilevel"/>
    <w:tmpl w:val="884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987622">
    <w:abstractNumId w:val="7"/>
  </w:num>
  <w:num w:numId="2" w16cid:durableId="1316685508">
    <w:abstractNumId w:val="10"/>
  </w:num>
  <w:num w:numId="3" w16cid:durableId="1285430354">
    <w:abstractNumId w:val="4"/>
  </w:num>
  <w:num w:numId="4" w16cid:durableId="642083531">
    <w:abstractNumId w:val="3"/>
  </w:num>
  <w:num w:numId="5" w16cid:durableId="2059891426">
    <w:abstractNumId w:val="13"/>
  </w:num>
  <w:num w:numId="6" w16cid:durableId="312637485">
    <w:abstractNumId w:val="6"/>
  </w:num>
  <w:num w:numId="7" w16cid:durableId="455102188">
    <w:abstractNumId w:val="11"/>
  </w:num>
  <w:num w:numId="8" w16cid:durableId="1978562105">
    <w:abstractNumId w:val="0"/>
  </w:num>
  <w:num w:numId="9" w16cid:durableId="958954199">
    <w:abstractNumId w:val="9"/>
  </w:num>
  <w:num w:numId="10" w16cid:durableId="1277106438">
    <w:abstractNumId w:val="5"/>
  </w:num>
  <w:num w:numId="11" w16cid:durableId="986318716">
    <w:abstractNumId w:val="8"/>
  </w:num>
  <w:num w:numId="12" w16cid:durableId="1814759695">
    <w:abstractNumId w:val="2"/>
  </w:num>
  <w:num w:numId="13" w16cid:durableId="741175477">
    <w:abstractNumId w:val="14"/>
  </w:num>
  <w:num w:numId="14" w16cid:durableId="467742486">
    <w:abstractNumId w:val="1"/>
  </w:num>
  <w:num w:numId="15" w16cid:durableId="437874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5"/>
    <w:rsid w:val="00053265"/>
    <w:rsid w:val="0009337C"/>
    <w:rsid w:val="004D691B"/>
    <w:rsid w:val="00C63E7A"/>
    <w:rsid w:val="00E30615"/>
    <w:rsid w:val="00F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A639"/>
  <w15:chartTrackingRefBased/>
  <w15:docId w15:val="{3527F4B4-09EF-4D26-AF40-3DAC039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3948">
              <w:marLeft w:val="720"/>
              <w:marRight w:val="0"/>
              <w:marTop w:val="720"/>
              <w:marBottom w:val="720"/>
              <w:divBdr>
                <w:top w:val="single" w:sz="6" w:space="24" w:color="D6DADC"/>
                <w:left w:val="single" w:sz="6" w:space="24" w:color="D6DADC"/>
                <w:bottom w:val="single" w:sz="6" w:space="24" w:color="D6DADC"/>
                <w:right w:val="single" w:sz="6" w:space="24" w:color="D6DADC"/>
              </w:divBdr>
              <w:divsChild>
                <w:div w:id="9098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826">
              <w:marLeft w:val="720"/>
              <w:marRight w:val="0"/>
              <w:marTop w:val="720"/>
              <w:marBottom w:val="720"/>
              <w:divBdr>
                <w:top w:val="single" w:sz="6" w:space="24" w:color="D6DADC"/>
                <w:left w:val="single" w:sz="6" w:space="24" w:color="D6DADC"/>
                <w:bottom w:val="single" w:sz="6" w:space="24" w:color="D6DADC"/>
                <w:right w:val="single" w:sz="6" w:space="24" w:color="D6DADC"/>
              </w:divBdr>
              <w:divsChild>
                <w:div w:id="1725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7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mcale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riendsofther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challenge@aarp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arp.org/livable-communities/community-challenge/info-2022/2022-grantees.html" TargetMode="External"/><Relationship Id="rId10" Type="http://schemas.openxmlformats.org/officeDocument/2006/relationships/hyperlink" Target="http://www.wellstonok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wata-CAN-Community-Advancement-Network-205320492828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Schilling</dc:creator>
  <cp:keywords/>
  <dc:description/>
  <cp:lastModifiedBy>Anna Schilling</cp:lastModifiedBy>
  <cp:revision>4</cp:revision>
  <cp:lastPrinted>2023-01-09T16:06:00Z</cp:lastPrinted>
  <dcterms:created xsi:type="dcterms:W3CDTF">2023-01-09T15:58:00Z</dcterms:created>
  <dcterms:modified xsi:type="dcterms:W3CDTF">2023-01-09T17:17:00Z</dcterms:modified>
</cp:coreProperties>
</file>