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03" w:rsidRPr="001514D9" w:rsidRDefault="00220103" w:rsidP="00220103">
      <w:pPr>
        <w:pStyle w:val="ListParagraph"/>
        <w:numPr>
          <w:ilvl w:val="0"/>
          <w:numId w:val="1"/>
        </w:numPr>
        <w:rPr>
          <w:b/>
        </w:rPr>
      </w:pPr>
      <w:r w:rsidRPr="001514D9">
        <w:rPr>
          <w:b/>
        </w:rPr>
        <w:t>Confirm that the institution</w:t>
      </w:r>
      <w:r w:rsidR="00A9616F">
        <w:rPr>
          <w:b/>
        </w:rPr>
        <w:t>’</w:t>
      </w:r>
      <w:r w:rsidRPr="001514D9">
        <w:rPr>
          <w:b/>
        </w:rPr>
        <w:t xml:space="preserve">s information is accurate in the </w:t>
      </w:r>
      <w:r w:rsidR="00A9616F">
        <w:rPr>
          <w:b/>
        </w:rPr>
        <w:t xml:space="preserve">HELC </w:t>
      </w:r>
      <w:r w:rsidRPr="001514D9">
        <w:rPr>
          <w:b/>
        </w:rPr>
        <w:t>database:</w:t>
      </w:r>
    </w:p>
    <w:p w:rsidR="00220103" w:rsidRDefault="00220103" w:rsidP="00220103">
      <w:pPr>
        <w:pStyle w:val="ListParagraph"/>
        <w:numPr>
          <w:ilvl w:val="1"/>
          <w:numId w:val="1"/>
        </w:numPr>
      </w:pPr>
      <w:r>
        <w:t>Institution address(</w:t>
      </w:r>
      <w:proofErr w:type="spellStart"/>
      <w:r>
        <w:t>es</w:t>
      </w:r>
      <w:proofErr w:type="spellEnd"/>
      <w:r>
        <w:t>)</w:t>
      </w:r>
    </w:p>
    <w:p w:rsidR="00220103" w:rsidRDefault="00220103" w:rsidP="00220103">
      <w:pPr>
        <w:pStyle w:val="ListParagraph"/>
        <w:numPr>
          <w:ilvl w:val="1"/>
          <w:numId w:val="1"/>
        </w:numPr>
      </w:pPr>
      <w:r>
        <w:t>Accreditation information</w:t>
      </w:r>
    </w:p>
    <w:p w:rsidR="00220103" w:rsidRDefault="00220103" w:rsidP="00220103">
      <w:pPr>
        <w:pStyle w:val="ListParagraph"/>
        <w:numPr>
          <w:ilvl w:val="1"/>
          <w:numId w:val="1"/>
        </w:numPr>
      </w:pPr>
      <w:r>
        <w:t>SARA POCs (need at least 2)</w:t>
      </w:r>
    </w:p>
    <w:p w:rsidR="00220103" w:rsidRDefault="00220103" w:rsidP="00220103">
      <w:pPr>
        <w:pStyle w:val="ListParagraph"/>
        <w:ind w:left="1440"/>
      </w:pPr>
    </w:p>
    <w:p w:rsidR="00AA7B7D" w:rsidRPr="001514D9" w:rsidRDefault="00AA7B7D" w:rsidP="00220103">
      <w:pPr>
        <w:pStyle w:val="ListParagraph"/>
        <w:numPr>
          <w:ilvl w:val="0"/>
          <w:numId w:val="1"/>
        </w:numPr>
        <w:rPr>
          <w:b/>
        </w:rPr>
      </w:pPr>
      <w:r w:rsidRPr="001514D9">
        <w:rPr>
          <w:b/>
        </w:rPr>
        <w:t>Confi</w:t>
      </w:r>
      <w:r w:rsidR="00220103" w:rsidRPr="001514D9">
        <w:rPr>
          <w:b/>
        </w:rPr>
        <w:t xml:space="preserve">rm that the application </w:t>
      </w:r>
      <w:r w:rsidRPr="001514D9">
        <w:rPr>
          <w:b/>
        </w:rPr>
        <w:t>is complete</w:t>
      </w:r>
      <w:r w:rsidR="00AC169D" w:rsidRPr="001514D9">
        <w:rPr>
          <w:b/>
        </w:rPr>
        <w:t>:</w:t>
      </w:r>
    </w:p>
    <w:p w:rsidR="00220103" w:rsidRDefault="00AA7B7D" w:rsidP="00AA7B7D">
      <w:pPr>
        <w:pStyle w:val="ListParagraph"/>
        <w:numPr>
          <w:ilvl w:val="1"/>
          <w:numId w:val="1"/>
        </w:numPr>
      </w:pPr>
      <w:r>
        <w:t xml:space="preserve">Proper </w:t>
      </w:r>
      <w:r w:rsidR="00220103">
        <w:t xml:space="preserve">form was completed: </w:t>
      </w:r>
      <w:hyperlink r:id="rId7" w:history="1">
        <w:r w:rsidR="00220103" w:rsidRPr="00634D53">
          <w:rPr>
            <w:rStyle w:val="Hyperlink"/>
          </w:rPr>
          <w:t>http://nc-sara.org/application/institutional-approval</w:t>
        </w:r>
      </w:hyperlink>
      <w:r w:rsidR="00220103">
        <w:t xml:space="preserve"> </w:t>
      </w:r>
    </w:p>
    <w:p w:rsidR="00410426" w:rsidRPr="00A5575A" w:rsidRDefault="00410426" w:rsidP="00410426">
      <w:pPr>
        <w:pStyle w:val="ListParagraph"/>
        <w:numPr>
          <w:ilvl w:val="2"/>
          <w:numId w:val="1"/>
        </w:numPr>
      </w:pPr>
      <w:r>
        <w:t xml:space="preserve">Initials of institution’s Chief Executive Officer (CEO) or Chief Academic Officer (CAO) for items 1-14 </w:t>
      </w:r>
      <w:r w:rsidRPr="00410426">
        <w:rPr>
          <w:i/>
          <w:color w:val="C00000"/>
        </w:rPr>
        <w:t xml:space="preserve">Note: </w:t>
      </w:r>
      <w:r w:rsidRPr="00410426">
        <w:rPr>
          <w:i/>
        </w:rPr>
        <w:t>typewritten initials are not acceptable</w:t>
      </w:r>
    </w:p>
    <w:p w:rsidR="00A5575A" w:rsidRDefault="00A5575A" w:rsidP="00A5575A">
      <w:pPr>
        <w:pStyle w:val="ListParagraph"/>
        <w:ind w:left="2160"/>
      </w:pPr>
    </w:p>
    <w:p w:rsidR="00834F05" w:rsidRPr="00834F05" w:rsidRDefault="00AA7B7D" w:rsidP="00834F05">
      <w:pPr>
        <w:pStyle w:val="ListParagraph"/>
        <w:numPr>
          <w:ilvl w:val="2"/>
          <w:numId w:val="1"/>
        </w:numPr>
      </w:pPr>
      <w:r>
        <w:t xml:space="preserve">Signed </w:t>
      </w:r>
      <w:r w:rsidR="00AC169D">
        <w:t xml:space="preserve">and dated </w:t>
      </w:r>
      <w:r>
        <w:t>by the institution’s Chief Executive Officer (CEO) or Chief Academic Officer (CAO)</w:t>
      </w:r>
      <w:r w:rsidR="00AC169D">
        <w:t xml:space="preserve"> </w:t>
      </w:r>
      <w:r w:rsidR="00AC169D" w:rsidRPr="00AC169D">
        <w:rPr>
          <w:color w:val="808080" w:themeColor="background1" w:themeShade="80"/>
        </w:rPr>
        <w:t>(application item #9)</w:t>
      </w:r>
    </w:p>
    <w:p w:rsidR="00834F05" w:rsidRDefault="00834F05" w:rsidP="00834F05">
      <w:pPr>
        <w:pStyle w:val="ListParagraph"/>
      </w:pPr>
    </w:p>
    <w:p w:rsidR="00AC169D" w:rsidRDefault="00AC169D" w:rsidP="00AC169D">
      <w:pPr>
        <w:pStyle w:val="ListParagraph"/>
        <w:numPr>
          <w:ilvl w:val="1"/>
          <w:numId w:val="1"/>
        </w:numPr>
      </w:pPr>
      <w:r>
        <w:t xml:space="preserve">Attachments: </w:t>
      </w:r>
    </w:p>
    <w:p w:rsidR="009A782F" w:rsidRDefault="00B346D1" w:rsidP="009A782F">
      <w:pPr>
        <w:pStyle w:val="ListParagraph"/>
        <w:numPr>
          <w:ilvl w:val="2"/>
          <w:numId w:val="1"/>
        </w:numPr>
      </w:pPr>
      <w:r>
        <w:t>Correct</w:t>
      </w:r>
      <w:r w:rsidR="009A782F">
        <w:t xml:space="preserve"> number of application copies</w:t>
      </w:r>
    </w:p>
    <w:p w:rsidR="009A782F" w:rsidRDefault="009A782F" w:rsidP="009A782F">
      <w:pPr>
        <w:pStyle w:val="ListParagraph"/>
        <w:ind w:left="2160"/>
      </w:pPr>
    </w:p>
    <w:p w:rsidR="009A782F" w:rsidRPr="00410426" w:rsidRDefault="009A782F" w:rsidP="009A782F">
      <w:pPr>
        <w:pStyle w:val="ListParagraph"/>
        <w:numPr>
          <w:ilvl w:val="2"/>
          <w:numId w:val="1"/>
        </w:numPr>
      </w:pPr>
      <w:r>
        <w:t xml:space="preserve">Correct </w:t>
      </w:r>
      <w:r w:rsidRPr="00410426">
        <w:rPr>
          <w:b/>
        </w:rPr>
        <w:t>fees</w:t>
      </w:r>
      <w:r>
        <w:t xml:space="preserve"> </w:t>
      </w:r>
      <w:r w:rsidRPr="00AC169D">
        <w:rPr>
          <w:color w:val="808080" w:themeColor="background1" w:themeShade="80"/>
        </w:rPr>
        <w:t>(application item #</w:t>
      </w:r>
      <w:r>
        <w:rPr>
          <w:color w:val="808080" w:themeColor="background1" w:themeShade="80"/>
        </w:rPr>
        <w:t>12)</w:t>
      </w:r>
    </w:p>
    <w:p w:rsidR="009A782F" w:rsidRDefault="009A782F" w:rsidP="009A782F">
      <w:pPr>
        <w:pStyle w:val="ListParagraph"/>
        <w:ind w:left="2160"/>
        <w:rPr>
          <w:i/>
        </w:rPr>
      </w:pPr>
      <w:r w:rsidRPr="00410426">
        <w:rPr>
          <w:i/>
          <w:color w:val="C00000"/>
          <w:sz w:val="20"/>
        </w:rPr>
        <w:t>Note:</w:t>
      </w:r>
      <w:r w:rsidRPr="00410426">
        <w:rPr>
          <w:i/>
          <w:color w:val="ED7D31" w:themeColor="accent2"/>
          <w:sz w:val="20"/>
        </w:rPr>
        <w:t xml:space="preserve"> </w:t>
      </w:r>
      <w:r w:rsidRPr="00410426">
        <w:rPr>
          <w:i/>
          <w:sz w:val="20"/>
        </w:rPr>
        <w:t xml:space="preserve">Fees are based on the institutions current full-time enrollment (FTE) as reported to IPEDS </w:t>
      </w:r>
      <w:hyperlink r:id="rId8" w:history="1">
        <w:r w:rsidRPr="00410426">
          <w:rPr>
            <w:rStyle w:val="Hyperlink"/>
            <w:i/>
            <w:sz w:val="20"/>
          </w:rPr>
          <w:t>https://nces.ed.gov/ipeds/</w:t>
        </w:r>
      </w:hyperlink>
      <w:r w:rsidRPr="00AC169D">
        <w:rPr>
          <w:i/>
        </w:rPr>
        <w:t xml:space="preserve"> </w:t>
      </w:r>
    </w:p>
    <w:p w:rsidR="009A782F" w:rsidRPr="00AC169D" w:rsidRDefault="009A782F" w:rsidP="009A782F">
      <w:pPr>
        <w:pStyle w:val="ListParagraph"/>
        <w:ind w:left="2160"/>
        <w:rPr>
          <w:i/>
        </w:rPr>
      </w:pPr>
    </w:p>
    <w:p w:rsidR="009A782F" w:rsidRPr="00410426" w:rsidRDefault="009A782F" w:rsidP="009A782F">
      <w:pPr>
        <w:pStyle w:val="ListParagraph"/>
        <w:numPr>
          <w:ilvl w:val="2"/>
          <w:numId w:val="1"/>
        </w:numPr>
      </w:pPr>
      <w:r w:rsidRPr="00410426">
        <w:rPr>
          <w:b/>
        </w:rPr>
        <w:t>Memorandum of Agreement</w:t>
      </w:r>
      <w:r>
        <w:t xml:space="preserve"> (MOA) is signed and dated. </w:t>
      </w:r>
      <w:r w:rsidRPr="00410426">
        <w:rPr>
          <w:i/>
          <w:color w:val="C00000"/>
          <w:sz w:val="20"/>
        </w:rPr>
        <w:t xml:space="preserve">Note: </w:t>
      </w:r>
      <w:r w:rsidRPr="00410426">
        <w:rPr>
          <w:i/>
          <w:sz w:val="20"/>
        </w:rPr>
        <w:t>The MOA is only required for congressionally-chartered institutions.</w:t>
      </w:r>
    </w:p>
    <w:p w:rsidR="009A782F" w:rsidRDefault="009A782F" w:rsidP="009A782F">
      <w:pPr>
        <w:pStyle w:val="ListParagraph"/>
        <w:ind w:left="2160"/>
      </w:pPr>
    </w:p>
    <w:p w:rsidR="009A782F" w:rsidRPr="00410426" w:rsidRDefault="009A782F" w:rsidP="009A782F">
      <w:pPr>
        <w:pStyle w:val="ListParagraph"/>
        <w:numPr>
          <w:ilvl w:val="2"/>
          <w:numId w:val="1"/>
        </w:numPr>
      </w:pPr>
      <w:r>
        <w:t xml:space="preserve">Proof of </w:t>
      </w:r>
      <w:r w:rsidRPr="00410426">
        <w:rPr>
          <w:b/>
        </w:rPr>
        <w:t>legal domicile</w:t>
      </w:r>
      <w:r>
        <w:t xml:space="preserve"> (i.e. institution’s charter or Articles of Incorporation)</w:t>
      </w:r>
      <w:r w:rsidRPr="00410426">
        <w:rPr>
          <w:i/>
          <w:color w:val="C00000"/>
        </w:rPr>
        <w:t xml:space="preserve"> Note:</w:t>
      </w:r>
      <w:r w:rsidRPr="00410426">
        <w:rPr>
          <w:i/>
          <w:color w:val="ED7D31" w:themeColor="accent2"/>
        </w:rPr>
        <w:t xml:space="preserve"> </w:t>
      </w:r>
      <w:r w:rsidRPr="00410426">
        <w:rPr>
          <w:i/>
        </w:rPr>
        <w:t xml:space="preserve">only required at time of </w:t>
      </w:r>
      <w:r w:rsidRPr="00410426">
        <w:rPr>
          <w:i/>
          <w:u w:val="single"/>
        </w:rPr>
        <w:t>initial</w:t>
      </w:r>
      <w:r w:rsidRPr="00410426">
        <w:rPr>
          <w:i/>
        </w:rPr>
        <w:t xml:space="preserve"> application for institutional participation in SARA</w:t>
      </w:r>
      <w:r>
        <w:rPr>
          <w:i/>
        </w:rPr>
        <w:t>, unless there is a change</w:t>
      </w:r>
      <w:r w:rsidRPr="00410426">
        <w:rPr>
          <w:color w:val="808080" w:themeColor="background1" w:themeShade="80"/>
        </w:rPr>
        <w:t xml:space="preserve"> (application item #1)</w:t>
      </w:r>
    </w:p>
    <w:p w:rsidR="009A782F" w:rsidRDefault="009A782F" w:rsidP="009A782F">
      <w:pPr>
        <w:pStyle w:val="ListParagraph"/>
      </w:pPr>
    </w:p>
    <w:p w:rsidR="009A782F" w:rsidRPr="00410426" w:rsidRDefault="009A782F" w:rsidP="009A782F">
      <w:pPr>
        <w:pStyle w:val="ListParagraph"/>
        <w:numPr>
          <w:ilvl w:val="2"/>
          <w:numId w:val="1"/>
        </w:numPr>
      </w:pPr>
      <w:r>
        <w:t xml:space="preserve">Proof of </w:t>
      </w:r>
      <w:r w:rsidRPr="00410426">
        <w:rPr>
          <w:b/>
        </w:rPr>
        <w:t>US DOE recognized accreditation</w:t>
      </w:r>
      <w:r>
        <w:t xml:space="preserve"> in good standing </w:t>
      </w:r>
      <w:r w:rsidRPr="00AC169D">
        <w:rPr>
          <w:color w:val="808080" w:themeColor="background1" w:themeShade="80"/>
        </w:rPr>
        <w:t>(application item</w:t>
      </w:r>
      <w:r>
        <w:rPr>
          <w:color w:val="808080" w:themeColor="background1" w:themeShade="80"/>
        </w:rPr>
        <w:t>s</w:t>
      </w:r>
      <w:r w:rsidRPr="00AC169D">
        <w:rPr>
          <w:color w:val="808080" w:themeColor="background1" w:themeShade="80"/>
        </w:rPr>
        <w:t xml:space="preserve"> #</w:t>
      </w:r>
      <w:r>
        <w:rPr>
          <w:color w:val="808080" w:themeColor="background1" w:themeShade="80"/>
        </w:rPr>
        <w:t>2, #6)</w:t>
      </w:r>
      <w:r w:rsidR="008C2E88">
        <w:rPr>
          <w:color w:val="808080" w:themeColor="background1" w:themeShade="80"/>
        </w:rPr>
        <w:t xml:space="preserve"> </w:t>
      </w:r>
      <w:r w:rsidR="008C2E88" w:rsidRPr="008C2E88">
        <w:t>Confirm that the institution is fully approved to offer distance education</w:t>
      </w:r>
    </w:p>
    <w:p w:rsidR="009A782F" w:rsidRDefault="009A782F" w:rsidP="009A782F">
      <w:pPr>
        <w:pStyle w:val="ListParagraph"/>
      </w:pPr>
    </w:p>
    <w:p w:rsidR="009A782F" w:rsidRPr="00410426" w:rsidRDefault="009A782F" w:rsidP="009A782F">
      <w:pPr>
        <w:pStyle w:val="ListParagraph"/>
        <w:numPr>
          <w:ilvl w:val="2"/>
          <w:numId w:val="1"/>
        </w:numPr>
      </w:pPr>
      <w:r w:rsidRPr="00410426">
        <w:rPr>
          <w:b/>
        </w:rPr>
        <w:t>Student Complaint Process</w:t>
      </w:r>
      <w:r>
        <w:t xml:space="preserve"> </w:t>
      </w:r>
      <w:r w:rsidRPr="00AC169D">
        <w:rPr>
          <w:i/>
          <w:color w:val="C00000"/>
        </w:rPr>
        <w:t>Note:</w:t>
      </w:r>
      <w:r w:rsidRPr="00AC169D">
        <w:rPr>
          <w:i/>
          <w:color w:val="ED7D31" w:themeColor="accent2"/>
        </w:rPr>
        <w:t xml:space="preserve"> </w:t>
      </w:r>
      <w:r>
        <w:rPr>
          <w:i/>
        </w:rPr>
        <w:t xml:space="preserve">must list the HELC </w:t>
      </w:r>
      <w:r w:rsidR="005A32B5">
        <w:rPr>
          <w:i/>
        </w:rPr>
        <w:t xml:space="preserve">(and full contact info) </w:t>
      </w:r>
      <w:r>
        <w:rPr>
          <w:i/>
        </w:rPr>
        <w:t>as option after institution’s grievance process is exhausted</w:t>
      </w:r>
      <w:r w:rsidRPr="00665341">
        <w:rPr>
          <w:color w:val="808080" w:themeColor="background1" w:themeShade="80"/>
        </w:rPr>
        <w:t xml:space="preserve"> </w:t>
      </w:r>
      <w:r w:rsidRPr="00AC169D">
        <w:rPr>
          <w:color w:val="808080" w:themeColor="background1" w:themeShade="80"/>
        </w:rPr>
        <w:t>(application item #</w:t>
      </w:r>
      <w:r>
        <w:rPr>
          <w:color w:val="808080" w:themeColor="background1" w:themeShade="80"/>
        </w:rPr>
        <w:t>8)</w:t>
      </w:r>
    </w:p>
    <w:p w:rsidR="009A782F" w:rsidRDefault="009A782F" w:rsidP="009A782F">
      <w:pPr>
        <w:pStyle w:val="ListParagraph"/>
      </w:pPr>
    </w:p>
    <w:p w:rsidR="009A782F" w:rsidRPr="00A9616F" w:rsidRDefault="009A782F" w:rsidP="009A782F">
      <w:pPr>
        <w:pStyle w:val="ListParagraph"/>
        <w:numPr>
          <w:ilvl w:val="2"/>
          <w:numId w:val="1"/>
        </w:numPr>
      </w:pPr>
      <w:r w:rsidRPr="00A9616F">
        <w:rPr>
          <w:b/>
        </w:rPr>
        <w:t>Catastrophic Event policy</w:t>
      </w:r>
      <w:r w:rsidRPr="00A9616F">
        <w:t xml:space="preserve"> must ensure that students are covered in the event of unanticipated closures 1) reasonable alternative for delivering the instruction or financial compensation for unearned education, 2) student record preservation  </w:t>
      </w:r>
      <w:r w:rsidRPr="00A9616F">
        <w:rPr>
          <w:color w:val="808080" w:themeColor="background1" w:themeShade="80"/>
        </w:rPr>
        <w:t>(application item #11)</w:t>
      </w:r>
    </w:p>
    <w:p w:rsidR="009A782F" w:rsidRDefault="009A782F" w:rsidP="009A782F">
      <w:pPr>
        <w:pStyle w:val="ListParagraph"/>
      </w:pPr>
    </w:p>
    <w:p w:rsidR="009A782F" w:rsidRDefault="009A782F" w:rsidP="009A782F">
      <w:pPr>
        <w:pStyle w:val="ListParagraph"/>
        <w:numPr>
          <w:ilvl w:val="2"/>
          <w:numId w:val="1"/>
        </w:numPr>
      </w:pPr>
      <w:r w:rsidRPr="00834F05">
        <w:rPr>
          <w:b/>
        </w:rPr>
        <w:t xml:space="preserve">Federal Financial Composite/Index Score </w:t>
      </w:r>
      <w:r w:rsidRPr="00834F05">
        <w:rPr>
          <w:color w:val="808080" w:themeColor="background1" w:themeShade="80"/>
        </w:rPr>
        <w:t xml:space="preserve">(application item #3) </w:t>
      </w:r>
      <w:r w:rsidRPr="00834F05">
        <w:rPr>
          <w:i/>
          <w:color w:val="C00000"/>
        </w:rPr>
        <w:t>Note:</w:t>
      </w:r>
      <w:r w:rsidRPr="00834F05">
        <w:rPr>
          <w:i/>
          <w:color w:val="ED7D31" w:themeColor="accent2"/>
        </w:rPr>
        <w:t xml:space="preserve"> </w:t>
      </w:r>
      <w:r w:rsidRPr="00834F05">
        <w:rPr>
          <w:i/>
        </w:rPr>
        <w:t xml:space="preserve">Institution should submit an official score from the US DOE. The currently published scores are available here: </w:t>
      </w:r>
      <w:hyperlink r:id="rId9" w:history="1">
        <w:r w:rsidRPr="00834F05">
          <w:rPr>
            <w:rStyle w:val="Hyperlink"/>
            <w:i/>
            <w:color w:val="4472C4" w:themeColor="accent5"/>
          </w:rPr>
          <w:t>https://studentaid.ed.gov/sa/about/data-center/school/composite-scores</w:t>
        </w:r>
      </w:hyperlink>
      <w:r w:rsidRPr="00834F05">
        <w:rPr>
          <w:color w:val="808080" w:themeColor="background1" w:themeShade="80"/>
        </w:rPr>
        <w:t xml:space="preserve">. </w:t>
      </w:r>
      <w:r w:rsidRPr="00834F05">
        <w:t>The institution may contact the US DOE and receive a current copy of their official score, as well. A</w:t>
      </w:r>
      <w:r>
        <w:t>n a</w:t>
      </w:r>
      <w:r w:rsidRPr="00834F05">
        <w:t xml:space="preserve">cceptable score is 1.5 or above. </w:t>
      </w:r>
      <w:r w:rsidRPr="00834F05">
        <w:rPr>
          <w:i/>
          <w:color w:val="C00000"/>
        </w:rPr>
        <w:t>Note:</w:t>
      </w:r>
      <w:r w:rsidRPr="00834F05">
        <w:rPr>
          <w:i/>
          <w:color w:val="ED7D31" w:themeColor="accent2"/>
        </w:rPr>
        <w:t xml:space="preserve"> </w:t>
      </w:r>
      <w:r w:rsidRPr="00834F05">
        <w:rPr>
          <w:i/>
        </w:rPr>
        <w:t>if the score is between 1.0-1.5 the institution must submit</w:t>
      </w:r>
      <w:r>
        <w:rPr>
          <w:i/>
        </w:rPr>
        <w:t>:</w:t>
      </w:r>
    </w:p>
    <w:p w:rsidR="009A782F" w:rsidRDefault="009A782F" w:rsidP="009A782F">
      <w:pPr>
        <w:pStyle w:val="ListParagraph"/>
        <w:numPr>
          <w:ilvl w:val="4"/>
          <w:numId w:val="1"/>
        </w:numPr>
      </w:pPr>
      <w:r>
        <w:lastRenderedPageBreak/>
        <w:t>Financial stability justification</w:t>
      </w:r>
    </w:p>
    <w:p w:rsidR="009A782F" w:rsidRDefault="009A782F" w:rsidP="009A782F">
      <w:pPr>
        <w:pStyle w:val="ListParagraph"/>
        <w:numPr>
          <w:ilvl w:val="4"/>
          <w:numId w:val="1"/>
        </w:numPr>
      </w:pPr>
      <w:r>
        <w:t>Surety bond or letter of credit</w:t>
      </w:r>
    </w:p>
    <w:p w:rsidR="009A782F" w:rsidRDefault="009A782F" w:rsidP="009A782F">
      <w:pPr>
        <w:ind w:left="1980"/>
      </w:pPr>
      <w:r>
        <w:t xml:space="preserve">Verify that the institution is not on Heightened Cash Monitoring (HCM) with US DOE-Federal Student Aid (FSA) </w:t>
      </w:r>
      <w:hyperlink r:id="rId10" w:history="1">
        <w:r w:rsidRPr="00634D53">
          <w:rPr>
            <w:rStyle w:val="Hyperlink"/>
          </w:rPr>
          <w:t>https://studentaid.ed.gov/sa/about/data-center/school/hcm</w:t>
        </w:r>
      </w:hyperlink>
      <w:r>
        <w:t xml:space="preserve"> </w:t>
      </w:r>
    </w:p>
    <w:p w:rsidR="009A782F" w:rsidRPr="009A782F" w:rsidRDefault="009A782F" w:rsidP="009A782F">
      <w:pPr>
        <w:pStyle w:val="ListParagraph"/>
        <w:numPr>
          <w:ilvl w:val="2"/>
          <w:numId w:val="1"/>
        </w:numPr>
      </w:pPr>
      <w:r>
        <w:t xml:space="preserve">Documentation of written notification to students relative to programming that leads to </w:t>
      </w:r>
      <w:r w:rsidRPr="001514D9">
        <w:rPr>
          <w:b/>
        </w:rPr>
        <w:t>professional licensure</w:t>
      </w:r>
      <w:r>
        <w:t xml:space="preserve"> </w:t>
      </w:r>
      <w:r w:rsidRPr="001514D9">
        <w:rPr>
          <w:color w:val="808080" w:themeColor="background1" w:themeShade="80"/>
        </w:rPr>
        <w:t>(application item #10)</w:t>
      </w:r>
      <w:r w:rsidR="00261DC0">
        <w:rPr>
          <w:color w:val="808080" w:themeColor="background1" w:themeShade="80"/>
        </w:rPr>
        <w:t xml:space="preserve">.  </w:t>
      </w:r>
      <w:r w:rsidR="00261DC0">
        <w:t xml:space="preserve">In addition to reviewing a copy of the notification the institution provides to students, the application should confirm the manner </w:t>
      </w:r>
      <w:r w:rsidR="00261DC0" w:rsidRPr="00261DC0">
        <w:rPr>
          <w:i/>
        </w:rPr>
        <w:t>(i.e. website, email, enrollment agreement, etc.)</w:t>
      </w:r>
      <w:r w:rsidR="00261DC0">
        <w:t xml:space="preserve"> in which the information is distributed to students.</w:t>
      </w:r>
    </w:p>
    <w:p w:rsidR="009A782F" w:rsidRPr="008871E3" w:rsidRDefault="009A782F" w:rsidP="009A782F">
      <w:pPr>
        <w:pStyle w:val="ListParagraph"/>
        <w:ind w:left="2160"/>
      </w:pPr>
    </w:p>
    <w:p w:rsidR="009A782F" w:rsidRDefault="009A782F" w:rsidP="00AC169D">
      <w:pPr>
        <w:pStyle w:val="ListParagraph"/>
        <w:numPr>
          <w:ilvl w:val="1"/>
          <w:numId w:val="1"/>
        </w:numPr>
      </w:pPr>
      <w:r>
        <w:t>Reporting</w:t>
      </w:r>
    </w:p>
    <w:p w:rsidR="008871E3" w:rsidRPr="009A782F" w:rsidRDefault="008871E3" w:rsidP="009571FB">
      <w:pPr>
        <w:pStyle w:val="ListParagraph"/>
        <w:numPr>
          <w:ilvl w:val="2"/>
          <w:numId w:val="1"/>
        </w:numPr>
      </w:pPr>
      <w:r w:rsidRPr="008871E3">
        <w:t xml:space="preserve">Compliance with </w:t>
      </w:r>
      <w:r w:rsidRPr="009A782F">
        <w:rPr>
          <w:b/>
        </w:rPr>
        <w:t xml:space="preserve">NC SARA Reporting </w:t>
      </w:r>
      <w:r>
        <w:rPr>
          <w:color w:val="808080" w:themeColor="background1" w:themeShade="80"/>
        </w:rPr>
        <w:t xml:space="preserve">(application item #7) </w:t>
      </w:r>
      <w:r w:rsidRPr="00834F05">
        <w:rPr>
          <w:i/>
          <w:color w:val="C00000"/>
        </w:rPr>
        <w:t>Note:</w:t>
      </w:r>
      <w:r w:rsidRPr="00834F05">
        <w:rPr>
          <w:i/>
          <w:color w:val="ED7D31" w:themeColor="accent2"/>
        </w:rPr>
        <w:t xml:space="preserve"> </w:t>
      </w:r>
      <w:r w:rsidR="009571FB">
        <w:rPr>
          <w:i/>
        </w:rPr>
        <w:t>enrollment report o</w:t>
      </w:r>
      <w:r>
        <w:rPr>
          <w:i/>
        </w:rPr>
        <w:t xml:space="preserve">nly required for </w:t>
      </w:r>
      <w:r w:rsidR="009571FB">
        <w:rPr>
          <w:i/>
        </w:rPr>
        <w:t xml:space="preserve">SARA </w:t>
      </w:r>
      <w:r>
        <w:rPr>
          <w:i/>
        </w:rPr>
        <w:t>renewals</w:t>
      </w:r>
      <w:r w:rsidR="009571FB">
        <w:rPr>
          <w:i/>
        </w:rPr>
        <w:t xml:space="preserve">; to verify if the institution is in compliance visit </w:t>
      </w:r>
      <w:hyperlink r:id="rId11" w:history="1">
        <w:r w:rsidR="009571FB" w:rsidRPr="00634D53">
          <w:rPr>
            <w:rStyle w:val="Hyperlink"/>
            <w:i/>
          </w:rPr>
          <w:t>http://nc-sara.org/content/reports</w:t>
        </w:r>
      </w:hyperlink>
      <w:r w:rsidR="009571FB">
        <w:rPr>
          <w:i/>
        </w:rPr>
        <w:t xml:space="preserve"> </w:t>
      </w:r>
    </w:p>
    <w:p w:rsidR="009A782F" w:rsidRDefault="009A782F" w:rsidP="009571FB">
      <w:pPr>
        <w:pStyle w:val="ListParagraph"/>
        <w:numPr>
          <w:ilvl w:val="2"/>
          <w:numId w:val="1"/>
        </w:numPr>
      </w:pPr>
      <w:r w:rsidRPr="009A782F">
        <w:rPr>
          <w:b/>
        </w:rPr>
        <w:t>Annual Data Survey</w:t>
      </w:r>
      <w:r>
        <w:t xml:space="preserve"> (</w:t>
      </w:r>
      <w:r>
        <w:rPr>
          <w:i/>
        </w:rPr>
        <w:t xml:space="preserve">to verify if the institution is in compliance ADS login to </w:t>
      </w:r>
      <w:hyperlink r:id="rId12" w:history="1">
        <w:r w:rsidRPr="005D38D3">
          <w:rPr>
            <w:rStyle w:val="Hyperlink"/>
            <w:i/>
          </w:rPr>
          <w:t>https://helc.osse.dc.gov</w:t>
        </w:r>
      </w:hyperlink>
      <w:r>
        <w:rPr>
          <w:i/>
        </w:rPr>
        <w:t xml:space="preserve"> ) </w:t>
      </w:r>
    </w:p>
    <w:p w:rsidR="00220103" w:rsidRDefault="00220103" w:rsidP="00AA7B7D">
      <w:pPr>
        <w:pStyle w:val="ListParagraph"/>
      </w:pPr>
    </w:p>
    <w:p w:rsidR="003D06D8" w:rsidRPr="001514D9" w:rsidRDefault="003D06D8" w:rsidP="003D06D8">
      <w:pPr>
        <w:pStyle w:val="ListParagraph"/>
        <w:numPr>
          <w:ilvl w:val="0"/>
          <w:numId w:val="1"/>
        </w:numPr>
        <w:rPr>
          <w:b/>
        </w:rPr>
      </w:pPr>
      <w:r w:rsidRPr="001514D9">
        <w:rPr>
          <w:b/>
        </w:rPr>
        <w:t>Application Processing</w:t>
      </w:r>
    </w:p>
    <w:p w:rsidR="003D06D8" w:rsidRDefault="003D06D8" w:rsidP="003D06D8">
      <w:pPr>
        <w:pStyle w:val="ListParagraph"/>
        <w:numPr>
          <w:ilvl w:val="1"/>
          <w:numId w:val="1"/>
        </w:numPr>
      </w:pPr>
      <w:r>
        <w:t>Staff Report</w:t>
      </w:r>
    </w:p>
    <w:p w:rsidR="003D06D8" w:rsidRDefault="003D06D8" w:rsidP="003D06D8">
      <w:pPr>
        <w:pStyle w:val="ListParagraph"/>
        <w:numPr>
          <w:ilvl w:val="2"/>
          <w:numId w:val="1"/>
        </w:numPr>
      </w:pPr>
      <w:r>
        <w:t xml:space="preserve">Prepare staff report; note any areas of deficiency </w:t>
      </w:r>
    </w:p>
    <w:p w:rsidR="003D06D8" w:rsidRDefault="003D06D8" w:rsidP="003D06D8">
      <w:pPr>
        <w:pStyle w:val="ListParagraph"/>
        <w:numPr>
          <w:ilvl w:val="2"/>
          <w:numId w:val="1"/>
        </w:numPr>
      </w:pPr>
      <w:r>
        <w:t xml:space="preserve">Add institution to the public session agenda </w:t>
      </w:r>
      <w:r w:rsidRPr="00B346D1">
        <w:rPr>
          <w:i/>
        </w:rPr>
        <w:t>(main agenda for initial requests or those with concerns; approval list for renewals with no issues)</w:t>
      </w:r>
    </w:p>
    <w:p w:rsidR="003D06D8" w:rsidRDefault="003D06D8" w:rsidP="003D06D8">
      <w:pPr>
        <w:ind w:left="1980"/>
      </w:pPr>
      <w:r w:rsidRPr="00A5575A">
        <w:rPr>
          <w:i/>
          <w:color w:val="C00000"/>
        </w:rPr>
        <w:t>Note:</w:t>
      </w:r>
      <w:r w:rsidRPr="00A5575A">
        <w:rPr>
          <w:i/>
          <w:color w:val="ED7D31" w:themeColor="accent2"/>
        </w:rPr>
        <w:t xml:space="preserve"> </w:t>
      </w:r>
      <w:r w:rsidRPr="00A5575A">
        <w:rPr>
          <w:i/>
        </w:rPr>
        <w:t>site visits are not required as part of the SARA approval process</w:t>
      </w:r>
    </w:p>
    <w:p w:rsidR="003D06D8" w:rsidRDefault="003D06D8" w:rsidP="003D06D8">
      <w:pPr>
        <w:pStyle w:val="ListParagraph"/>
        <w:numPr>
          <w:ilvl w:val="1"/>
          <w:numId w:val="1"/>
        </w:numPr>
      </w:pPr>
      <w:r>
        <w:t>Commission meeting notification to institution</w:t>
      </w:r>
    </w:p>
    <w:p w:rsidR="003D06D8" w:rsidRDefault="003D06D8" w:rsidP="003D06D8">
      <w:pPr>
        <w:pStyle w:val="ListParagraph"/>
        <w:numPr>
          <w:ilvl w:val="2"/>
          <w:numId w:val="1"/>
        </w:numPr>
      </w:pPr>
      <w:r>
        <w:t>Use standard notification letter to provide date, time, location of public meeting to be presented to the Commission for action</w:t>
      </w:r>
    </w:p>
    <w:p w:rsidR="003D06D8" w:rsidRDefault="003D06D8" w:rsidP="003D06D8">
      <w:pPr>
        <w:pStyle w:val="ListParagraph"/>
        <w:numPr>
          <w:ilvl w:val="2"/>
          <w:numId w:val="1"/>
        </w:numPr>
      </w:pPr>
      <w:r>
        <w:t>Notice may be sent via email (with read receipt) to POCs listed on the application</w:t>
      </w:r>
    </w:p>
    <w:p w:rsidR="003D06D8" w:rsidRDefault="003D06D8" w:rsidP="003D06D8">
      <w:pPr>
        <w:pStyle w:val="ListParagraph"/>
        <w:numPr>
          <w:ilvl w:val="2"/>
          <w:numId w:val="1"/>
        </w:numPr>
      </w:pPr>
      <w:r>
        <w:t>Note any application deficiencies, include a deadline for submission of required materials (deadline must be at least 2 weeks prior to meeting so that materials may be presented to the Commission in time for review).</w:t>
      </w:r>
    </w:p>
    <w:p w:rsidR="003D06D8" w:rsidRDefault="003D06D8" w:rsidP="003D06D8">
      <w:pPr>
        <w:pStyle w:val="ListParagraph"/>
        <w:ind w:left="2160"/>
      </w:pPr>
    </w:p>
    <w:p w:rsidR="003D06D8" w:rsidRPr="008431EE" w:rsidRDefault="003D06D8" w:rsidP="003D06D8">
      <w:pPr>
        <w:pStyle w:val="ListParagraph"/>
        <w:numPr>
          <w:ilvl w:val="1"/>
          <w:numId w:val="1"/>
        </w:numPr>
      </w:pPr>
      <w:r w:rsidRPr="008431EE">
        <w:t xml:space="preserve">Post </w:t>
      </w:r>
      <w:r>
        <w:t xml:space="preserve">Meeting </w:t>
      </w:r>
      <w:r w:rsidRPr="008431EE">
        <w:t>Decision Follow-up</w:t>
      </w:r>
    </w:p>
    <w:p w:rsidR="003D06D8" w:rsidRDefault="003D06D8" w:rsidP="003D06D8">
      <w:pPr>
        <w:pStyle w:val="ListParagraph"/>
        <w:numPr>
          <w:ilvl w:val="2"/>
          <w:numId w:val="1"/>
        </w:numPr>
      </w:pPr>
      <w:r>
        <w:t>Ensure original application submission is saved to the ELC T drive in the institution’s designated folder organized by year of application submission</w:t>
      </w:r>
    </w:p>
    <w:p w:rsidR="003D06D8" w:rsidRDefault="003D06D8" w:rsidP="003D06D8">
      <w:pPr>
        <w:pStyle w:val="ListParagraph"/>
        <w:numPr>
          <w:ilvl w:val="2"/>
          <w:numId w:val="1"/>
        </w:numPr>
      </w:pPr>
      <w:r>
        <w:t>Check the boxes on the right side of the institutional application for SARA under “State Entity to complete…” to verify proper evidence was provided</w:t>
      </w:r>
    </w:p>
    <w:p w:rsidR="003D06D8" w:rsidRDefault="003D06D8" w:rsidP="003D06D8">
      <w:pPr>
        <w:pStyle w:val="ListParagraph"/>
        <w:numPr>
          <w:ilvl w:val="2"/>
          <w:numId w:val="1"/>
        </w:numPr>
      </w:pPr>
      <w:r>
        <w:t>Draft/finalize cover letter (use standard template)</w:t>
      </w:r>
    </w:p>
    <w:p w:rsidR="003D06D8" w:rsidRDefault="003D06D8" w:rsidP="003D06D8">
      <w:pPr>
        <w:pStyle w:val="ListParagraph"/>
        <w:numPr>
          <w:ilvl w:val="2"/>
          <w:numId w:val="1"/>
        </w:numPr>
      </w:pPr>
      <w:r>
        <w:lastRenderedPageBreak/>
        <w:t>Complete and re-insert</w:t>
      </w:r>
      <w:r w:rsidR="000C4C13">
        <w:t xml:space="preserve"> </w:t>
      </w:r>
      <w:hyperlink r:id="rId13" w:history="1">
        <w:r w:rsidR="000C4C13" w:rsidRPr="000C4C13">
          <w:rPr>
            <w:rStyle w:val="Hyperlink"/>
          </w:rPr>
          <w:t>SARA State Supplemental Sheet for Institutions</w:t>
        </w:r>
      </w:hyperlink>
      <w:r>
        <w:t xml:space="preserve"> </w:t>
      </w:r>
      <w:r w:rsidRPr="009C4D80">
        <w:rPr>
          <w:u w:val="single"/>
        </w:rPr>
        <w:t>page 8</w:t>
      </w:r>
      <w:r w:rsidR="000D2B1B">
        <w:rPr>
          <w:u w:val="single"/>
        </w:rPr>
        <w:t xml:space="preserve"> of initial</w:t>
      </w:r>
      <w:r w:rsidR="000D2B1B" w:rsidRPr="000D2B1B">
        <w:t xml:space="preserve"> </w:t>
      </w:r>
      <w:r>
        <w:t>of institutional application form indicating DC specific information</w:t>
      </w:r>
      <w:r w:rsidR="000D2B1B">
        <w:t xml:space="preserve"> </w:t>
      </w:r>
      <w:r w:rsidR="000D2B1B" w:rsidRPr="000D2B1B">
        <w:rPr>
          <w:i/>
        </w:rPr>
        <w:t>(</w:t>
      </w:r>
      <w:r w:rsidR="000D2B1B" w:rsidRPr="000D2B1B">
        <w:rPr>
          <w:i/>
          <w:u w:val="single"/>
        </w:rPr>
        <w:t>page 4 of renewal)</w:t>
      </w:r>
    </w:p>
    <w:p w:rsidR="003D06D8" w:rsidRPr="000D2B1B" w:rsidRDefault="003D06D8" w:rsidP="003D06D8">
      <w:pPr>
        <w:pStyle w:val="ListParagraph"/>
        <w:numPr>
          <w:ilvl w:val="2"/>
          <w:numId w:val="1"/>
        </w:numPr>
        <w:rPr>
          <w:i/>
        </w:rPr>
      </w:pPr>
      <w:r>
        <w:t>Complete and re-insert</w:t>
      </w:r>
      <w:r w:rsidR="000C4C13">
        <w:t xml:space="preserve"> State Portal Entity Affirmation</w:t>
      </w:r>
      <w:bookmarkStart w:id="0" w:name="_GoBack"/>
      <w:bookmarkEnd w:id="0"/>
      <w:r>
        <w:t xml:space="preserve"> </w:t>
      </w:r>
      <w:r w:rsidRPr="009C4D80">
        <w:rPr>
          <w:u w:val="single"/>
        </w:rPr>
        <w:t>page 9</w:t>
      </w:r>
      <w:r>
        <w:t xml:space="preserve"> of institutional application form indicating decision</w:t>
      </w:r>
      <w:r w:rsidR="000D2B1B">
        <w:t xml:space="preserve"> </w:t>
      </w:r>
      <w:r w:rsidR="000D2B1B" w:rsidRPr="000D2B1B">
        <w:rPr>
          <w:i/>
        </w:rPr>
        <w:t>(</w:t>
      </w:r>
      <w:r w:rsidR="000D2B1B" w:rsidRPr="000D2B1B">
        <w:rPr>
          <w:i/>
          <w:u w:val="single"/>
        </w:rPr>
        <w:t>page 5 of renewal)</w:t>
      </w:r>
    </w:p>
    <w:p w:rsidR="003D06D8" w:rsidRDefault="003D06D8" w:rsidP="003D06D8">
      <w:pPr>
        <w:pStyle w:val="ListParagraph"/>
        <w:numPr>
          <w:ilvl w:val="3"/>
          <w:numId w:val="1"/>
        </w:numPr>
      </w:pPr>
      <w:r>
        <w:t>If approved,</w:t>
      </w:r>
    </w:p>
    <w:p w:rsidR="003D06D8" w:rsidRDefault="00B346D1" w:rsidP="003D06D8">
      <w:pPr>
        <w:pStyle w:val="ListParagraph"/>
        <w:numPr>
          <w:ilvl w:val="4"/>
          <w:numId w:val="1"/>
        </w:numPr>
      </w:pPr>
      <w:r>
        <w:t>Executive Director</w:t>
      </w:r>
      <w:r w:rsidR="003D06D8">
        <w:t xml:space="preserve"> to countersign MOA </w:t>
      </w:r>
    </w:p>
    <w:p w:rsidR="003D06D8" w:rsidRDefault="00B346D1" w:rsidP="003D06D8">
      <w:pPr>
        <w:pStyle w:val="ListParagraph"/>
        <w:numPr>
          <w:ilvl w:val="4"/>
          <w:numId w:val="1"/>
        </w:numPr>
      </w:pPr>
      <w:r>
        <w:t>Approval cover letter, fully executed</w:t>
      </w:r>
      <w:r w:rsidR="003D06D8">
        <w:t xml:space="preserve"> MOA and full application with pages 8 &amp; 9 should be scanned and saved to the institution</w:t>
      </w:r>
      <w:r>
        <w:t>’</w:t>
      </w:r>
      <w:r w:rsidR="003D06D8">
        <w:t>s folder on the ELC share drive in the institution’s respective folder by year</w:t>
      </w:r>
    </w:p>
    <w:p w:rsidR="003D06D8" w:rsidRDefault="003D06D8" w:rsidP="003D06D8">
      <w:pPr>
        <w:pStyle w:val="ListParagraph"/>
        <w:numPr>
          <w:ilvl w:val="4"/>
          <w:numId w:val="1"/>
        </w:numPr>
      </w:pPr>
      <w:r>
        <w:t xml:space="preserve">Email institution a complete copy of fully approved application </w:t>
      </w:r>
    </w:p>
    <w:p w:rsidR="003D06D8" w:rsidRDefault="003D06D8" w:rsidP="003D06D8">
      <w:pPr>
        <w:pStyle w:val="ListParagraph"/>
        <w:numPr>
          <w:ilvl w:val="3"/>
          <w:numId w:val="1"/>
        </w:numPr>
      </w:pPr>
      <w:r>
        <w:t>If disapproved,</w:t>
      </w:r>
      <w:r>
        <w:tab/>
      </w:r>
    </w:p>
    <w:p w:rsidR="003D06D8" w:rsidRDefault="00DC71CA" w:rsidP="003D06D8">
      <w:pPr>
        <w:pStyle w:val="ListParagraph"/>
        <w:numPr>
          <w:ilvl w:val="4"/>
          <w:numId w:val="1"/>
        </w:numPr>
      </w:pPr>
      <w:r>
        <w:t>Provide notice of the reason for the denial</w:t>
      </w:r>
      <w:r w:rsidR="00AF72A1">
        <w:t xml:space="preserve"> (drafted by HELC attorney)</w:t>
      </w:r>
    </w:p>
    <w:p w:rsidR="003D06D8" w:rsidRDefault="003D06D8" w:rsidP="003D06D8">
      <w:pPr>
        <w:pStyle w:val="ListParagraph"/>
        <w:ind w:left="2880"/>
      </w:pPr>
    </w:p>
    <w:p w:rsidR="003D06D8" w:rsidRDefault="003D06D8" w:rsidP="003D06D8">
      <w:pPr>
        <w:pStyle w:val="ListParagraph"/>
        <w:numPr>
          <w:ilvl w:val="1"/>
          <w:numId w:val="1"/>
        </w:numPr>
      </w:pPr>
      <w:r>
        <w:t>DC/HELC Notification to NC-SARA</w:t>
      </w:r>
    </w:p>
    <w:p w:rsidR="003D06D8" w:rsidRDefault="00B346D1" w:rsidP="003D06D8">
      <w:pPr>
        <w:pStyle w:val="ListParagraph"/>
        <w:numPr>
          <w:ilvl w:val="2"/>
          <w:numId w:val="1"/>
        </w:numPr>
      </w:pPr>
      <w:r>
        <w:t>Designated POC (Angela)</w:t>
      </w:r>
      <w:r w:rsidR="003D06D8">
        <w:t xml:space="preserve"> will need to log-in to the NC SARA Salesforce Portal </w:t>
      </w:r>
      <w:hyperlink r:id="rId14" w:history="1">
        <w:r w:rsidR="003D06D8">
          <w:rPr>
            <w:rStyle w:val="Hyperlink"/>
          </w:rPr>
          <w:t>https://nc-sara.force.com/community/login</w:t>
        </w:r>
      </w:hyperlink>
    </w:p>
    <w:p w:rsidR="003D06D8" w:rsidRDefault="003D06D8" w:rsidP="003D06D8">
      <w:pPr>
        <w:pStyle w:val="ListParagraph"/>
        <w:numPr>
          <w:ilvl w:val="2"/>
          <w:numId w:val="1"/>
        </w:numPr>
      </w:pPr>
      <w:r>
        <w:t>Enter or verify accuracy of institution information (name, location, POCs, classification, OPEID, etc.)</w:t>
      </w:r>
    </w:p>
    <w:p w:rsidR="003D06D8" w:rsidRDefault="003D06D8" w:rsidP="003D06D8">
      <w:pPr>
        <w:pStyle w:val="ListParagraph"/>
        <w:numPr>
          <w:ilvl w:val="2"/>
          <w:numId w:val="1"/>
        </w:numPr>
      </w:pPr>
      <w:r>
        <w:t xml:space="preserve">Follow steps outlined in the </w:t>
      </w:r>
      <w:r w:rsidR="007265A3">
        <w:t>“</w:t>
      </w:r>
      <w:r>
        <w:t>NC SARA Salesforce instruction guide</w:t>
      </w:r>
      <w:r w:rsidR="007265A3">
        <w:t>”</w:t>
      </w:r>
      <w:r>
        <w:t xml:space="preserve"> to update institution’s status to “Approved”</w:t>
      </w:r>
    </w:p>
    <w:p w:rsidR="003D06D8" w:rsidRDefault="003D06D8" w:rsidP="003D06D8">
      <w:pPr>
        <w:pStyle w:val="ListParagraph"/>
        <w:ind w:left="2160"/>
      </w:pPr>
      <w:r w:rsidRPr="00A5575A">
        <w:rPr>
          <w:i/>
          <w:color w:val="C00000"/>
        </w:rPr>
        <w:t>Note:</w:t>
      </w:r>
      <w:r w:rsidRPr="00A5575A">
        <w:rPr>
          <w:i/>
          <w:color w:val="ED7D31" w:themeColor="accent2"/>
        </w:rPr>
        <w:t xml:space="preserve"> </w:t>
      </w:r>
      <w:r>
        <w:rPr>
          <w:i/>
        </w:rPr>
        <w:t xml:space="preserve">NC SARA will send an automated message to the institution’s POCs with instructions for how to remit payment to NC SARA. HELC POC will receive a copy of all correspondence sent from NC SARA to the institution pertaining to application cycles and payments. </w:t>
      </w:r>
      <w:r>
        <w:t xml:space="preserve">Questions </w:t>
      </w:r>
      <w:hyperlink r:id="rId15" w:history="1">
        <w:r>
          <w:rPr>
            <w:rStyle w:val="Hyperlink"/>
          </w:rPr>
          <w:t>information@nc-sara.org</w:t>
        </w:r>
      </w:hyperlink>
    </w:p>
    <w:p w:rsidR="003D06D8" w:rsidRDefault="003D06D8" w:rsidP="003D06D8">
      <w:pPr>
        <w:pStyle w:val="ListParagraph"/>
        <w:ind w:left="2160"/>
        <w:rPr>
          <w:b/>
        </w:rPr>
      </w:pPr>
    </w:p>
    <w:p w:rsidR="003D06D8" w:rsidRDefault="003D06D8" w:rsidP="00220103">
      <w:pPr>
        <w:pStyle w:val="ListParagraph"/>
        <w:numPr>
          <w:ilvl w:val="0"/>
          <w:numId w:val="1"/>
        </w:numPr>
        <w:rPr>
          <w:b/>
        </w:rPr>
      </w:pPr>
      <w:r>
        <w:rPr>
          <w:b/>
        </w:rPr>
        <w:t>SARA Renewal</w:t>
      </w:r>
    </w:p>
    <w:p w:rsidR="003D06D8" w:rsidRDefault="003054DE" w:rsidP="003D06D8">
      <w:pPr>
        <w:pStyle w:val="ListParagraph"/>
        <w:numPr>
          <w:ilvl w:val="1"/>
          <w:numId w:val="1"/>
        </w:numPr>
      </w:pPr>
      <w:r>
        <w:t>SARA sends automated renewal n</w:t>
      </w:r>
      <w:r w:rsidR="003D06D8" w:rsidRPr="003054DE">
        <w:t>otification</w:t>
      </w:r>
      <w:r>
        <w:t xml:space="preserve">s via email </w:t>
      </w:r>
      <w:r w:rsidR="003D06D8" w:rsidRPr="003054DE">
        <w:t xml:space="preserve">to the institution </w:t>
      </w:r>
      <w:r>
        <w:t xml:space="preserve">(with a copy to the state) </w:t>
      </w:r>
      <w:r w:rsidR="00255A96">
        <w:t>90</w:t>
      </w:r>
      <w:r w:rsidR="003D06D8" w:rsidRPr="003054DE">
        <w:t xml:space="preserve"> days</w:t>
      </w:r>
      <w:r w:rsidR="00027DB6">
        <w:t xml:space="preserve"> before expiration.</w:t>
      </w:r>
      <w:r w:rsidR="003D4F88">
        <w:t xml:space="preserve">  SARA renewal applications are due to the HELC at least 60 days before expiration.  If the application is late, the $500 late fee is required.</w:t>
      </w:r>
    </w:p>
    <w:p w:rsidR="003D4F88" w:rsidRPr="003D4F88" w:rsidRDefault="003D4F88" w:rsidP="003D06D8">
      <w:pPr>
        <w:pStyle w:val="ListParagraph"/>
        <w:numPr>
          <w:ilvl w:val="1"/>
          <w:numId w:val="1"/>
        </w:numPr>
        <w:rPr>
          <w:i/>
        </w:rPr>
      </w:pPr>
      <w:r>
        <w:t xml:space="preserve">If the timing of the submission will cause the institution’s SARA approval to lapse (based on when the Commission meets), the institution may complete the SARA form titled </w:t>
      </w:r>
      <w:r w:rsidRPr="003D4F88">
        <w:rPr>
          <w:i/>
        </w:rPr>
        <w:t>“Renewing SARA Institution Membership Extension Form”</w:t>
      </w:r>
    </w:p>
    <w:p w:rsidR="003054DE" w:rsidRDefault="003054DE" w:rsidP="003D06D8">
      <w:pPr>
        <w:pStyle w:val="ListParagraph"/>
        <w:numPr>
          <w:ilvl w:val="1"/>
          <w:numId w:val="1"/>
        </w:numPr>
      </w:pPr>
      <w:r>
        <w:t xml:space="preserve">Institutions should use </w:t>
      </w:r>
      <w:r w:rsidR="00B346D1">
        <w:t xml:space="preserve">the </w:t>
      </w:r>
      <w:r>
        <w:t>form provided by NC SARA to request rene</w:t>
      </w:r>
      <w:r w:rsidR="003D4F88">
        <w:t>wal of their SARA participation.  Check the NC SARA website to ensure most current form is being used.</w:t>
      </w:r>
    </w:p>
    <w:p w:rsidR="0083768D" w:rsidRDefault="003054DE" w:rsidP="0083768D">
      <w:pPr>
        <w:pStyle w:val="ListParagraph"/>
        <w:numPr>
          <w:ilvl w:val="1"/>
          <w:numId w:val="1"/>
        </w:numPr>
      </w:pPr>
      <w:r>
        <w:t>HELC should process the renewal request in the same fashion as the initial application.</w:t>
      </w:r>
    </w:p>
    <w:p w:rsidR="00255A96" w:rsidRDefault="00255A96" w:rsidP="0083768D">
      <w:pPr>
        <w:pStyle w:val="ListParagraph"/>
        <w:numPr>
          <w:ilvl w:val="1"/>
          <w:numId w:val="1"/>
        </w:numPr>
      </w:pPr>
      <w:r>
        <w:t>If institutional membership renewal is denied, the HELC (Portal Entity) will provide to the applicant institution a written reason for the denial. The institution may appeal the denial of its renewal application within 30 days to its regional compact to ensure SARA Policies were upheld during the review process.</w:t>
      </w:r>
    </w:p>
    <w:p w:rsidR="0083768D" w:rsidRDefault="0083768D" w:rsidP="0083768D">
      <w:r>
        <w:t>RESOURCES</w:t>
      </w:r>
    </w:p>
    <w:p w:rsidR="0083768D" w:rsidRDefault="0083768D" w:rsidP="0083768D">
      <w:pPr>
        <w:ind w:left="360"/>
      </w:pPr>
      <w:r>
        <w:lastRenderedPageBreak/>
        <w:t xml:space="preserve">HELC website - </w:t>
      </w:r>
      <w:hyperlink r:id="rId16" w:history="1">
        <w:r w:rsidRPr="00634D53">
          <w:rPr>
            <w:rStyle w:val="Hyperlink"/>
          </w:rPr>
          <w:t>https://osse.dc.gov/service/state-authorization-reciprocity-agreement-sara</w:t>
        </w:r>
      </w:hyperlink>
      <w:r>
        <w:t xml:space="preserve"> </w:t>
      </w:r>
    </w:p>
    <w:p w:rsidR="0083768D" w:rsidRPr="003054DE" w:rsidRDefault="0083768D" w:rsidP="0083768D">
      <w:pPr>
        <w:ind w:left="360"/>
      </w:pPr>
      <w:r>
        <w:t xml:space="preserve">NC SARA Policy Manual - </w:t>
      </w:r>
      <w:hyperlink r:id="rId17" w:history="1">
        <w:r w:rsidRPr="00634D53">
          <w:rPr>
            <w:rStyle w:val="Hyperlink"/>
          </w:rPr>
          <w:t>http://nc-sara.org/content/sara-manual</w:t>
        </w:r>
      </w:hyperlink>
      <w:r>
        <w:t xml:space="preserve"> </w:t>
      </w:r>
    </w:p>
    <w:sectPr w:rsidR="0083768D" w:rsidRPr="003054DE" w:rsidSect="00AA7B7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A55" w:rsidRDefault="00721A55" w:rsidP="00721A55">
      <w:pPr>
        <w:spacing w:after="0" w:line="240" w:lineRule="auto"/>
      </w:pPr>
      <w:r>
        <w:separator/>
      </w:r>
    </w:p>
  </w:endnote>
  <w:endnote w:type="continuationSeparator" w:id="0">
    <w:p w:rsidR="00721A55" w:rsidRDefault="00721A55" w:rsidP="00721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55" w:rsidRDefault="00721A55" w:rsidP="00721A55">
    <w:pPr>
      <w:pStyle w:val="Footer"/>
      <w:jc w:val="right"/>
      <w:rPr>
        <w:color w:val="5B9BD5" w:themeColor="accent1"/>
        <w:sz w:val="18"/>
      </w:rPr>
    </w:pPr>
    <w:r w:rsidRPr="00721A55">
      <w:rPr>
        <w:color w:val="5B9BD5" w:themeColor="accent1"/>
        <w:sz w:val="18"/>
      </w:rPr>
      <w:t xml:space="preserve">Page </w:t>
    </w:r>
    <w:r w:rsidRPr="00721A55">
      <w:rPr>
        <w:color w:val="5B9BD5" w:themeColor="accent1"/>
        <w:sz w:val="18"/>
      </w:rPr>
      <w:fldChar w:fldCharType="begin"/>
    </w:r>
    <w:r w:rsidRPr="00721A55">
      <w:rPr>
        <w:color w:val="5B9BD5" w:themeColor="accent1"/>
        <w:sz w:val="18"/>
      </w:rPr>
      <w:instrText xml:space="preserve"> PAGE  \* Arabic  \* MERGEFORMAT </w:instrText>
    </w:r>
    <w:r w:rsidRPr="00721A55">
      <w:rPr>
        <w:color w:val="5B9BD5" w:themeColor="accent1"/>
        <w:sz w:val="18"/>
      </w:rPr>
      <w:fldChar w:fldCharType="separate"/>
    </w:r>
    <w:r w:rsidR="000C4C13">
      <w:rPr>
        <w:noProof/>
        <w:color w:val="5B9BD5" w:themeColor="accent1"/>
        <w:sz w:val="18"/>
      </w:rPr>
      <w:t>4</w:t>
    </w:r>
    <w:r w:rsidRPr="00721A55">
      <w:rPr>
        <w:color w:val="5B9BD5" w:themeColor="accent1"/>
        <w:sz w:val="18"/>
      </w:rPr>
      <w:fldChar w:fldCharType="end"/>
    </w:r>
    <w:r w:rsidRPr="00721A55">
      <w:rPr>
        <w:color w:val="5B9BD5" w:themeColor="accent1"/>
        <w:sz w:val="18"/>
      </w:rPr>
      <w:t xml:space="preserve"> of </w:t>
    </w:r>
    <w:r w:rsidRPr="00721A55">
      <w:rPr>
        <w:color w:val="5B9BD5" w:themeColor="accent1"/>
        <w:sz w:val="18"/>
      </w:rPr>
      <w:fldChar w:fldCharType="begin"/>
    </w:r>
    <w:r w:rsidRPr="00721A55">
      <w:rPr>
        <w:color w:val="5B9BD5" w:themeColor="accent1"/>
        <w:sz w:val="18"/>
      </w:rPr>
      <w:instrText xml:space="preserve"> NUMPAGES  \* Arabic  \* MERGEFORMAT </w:instrText>
    </w:r>
    <w:r w:rsidRPr="00721A55">
      <w:rPr>
        <w:color w:val="5B9BD5" w:themeColor="accent1"/>
        <w:sz w:val="18"/>
      </w:rPr>
      <w:fldChar w:fldCharType="separate"/>
    </w:r>
    <w:r w:rsidR="000C4C13">
      <w:rPr>
        <w:noProof/>
        <w:color w:val="5B9BD5" w:themeColor="accent1"/>
        <w:sz w:val="18"/>
      </w:rPr>
      <w:t>4</w:t>
    </w:r>
    <w:r w:rsidRPr="00721A55">
      <w:rPr>
        <w:color w:val="5B9BD5" w:themeColor="accent1"/>
        <w:sz w:val="18"/>
      </w:rPr>
      <w:fldChar w:fldCharType="end"/>
    </w:r>
  </w:p>
  <w:p w:rsidR="00721A55" w:rsidRDefault="00721A55" w:rsidP="00721A55">
    <w:pPr>
      <w:pStyle w:val="Footer"/>
      <w:jc w:val="right"/>
      <w:rPr>
        <w:color w:val="5B9BD5" w:themeColor="accent1"/>
        <w:sz w:val="18"/>
      </w:rPr>
    </w:pPr>
    <w:r>
      <w:rPr>
        <w:color w:val="5B9BD5" w:themeColor="accent1"/>
        <w:sz w:val="18"/>
      </w:rPr>
      <w:t>SOP- SARA Applications</w:t>
    </w:r>
  </w:p>
  <w:p w:rsidR="005A1948" w:rsidRDefault="005A1948" w:rsidP="00721A55">
    <w:pPr>
      <w:pStyle w:val="Footer"/>
      <w:jc w:val="right"/>
    </w:pPr>
    <w:proofErr w:type="gramStart"/>
    <w:r>
      <w:rPr>
        <w:color w:val="5B9BD5" w:themeColor="accent1"/>
        <w:sz w:val="18"/>
      </w:rPr>
      <w:t>rev</w:t>
    </w:r>
    <w:proofErr w:type="gramEnd"/>
    <w:r>
      <w:rPr>
        <w:color w:val="5B9BD5" w:themeColor="accent1"/>
        <w:sz w:val="18"/>
      </w:rPr>
      <w:t xml:space="preserve"> 8.20.18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A55" w:rsidRDefault="00721A55" w:rsidP="00721A55">
      <w:pPr>
        <w:spacing w:after="0" w:line="240" w:lineRule="auto"/>
      </w:pPr>
      <w:r>
        <w:separator/>
      </w:r>
    </w:p>
  </w:footnote>
  <w:footnote w:type="continuationSeparator" w:id="0">
    <w:p w:rsidR="00721A55" w:rsidRDefault="00721A55" w:rsidP="00721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55" w:rsidRPr="00721A55" w:rsidRDefault="00721A55" w:rsidP="00721A55">
    <w:pPr>
      <w:jc w:val="center"/>
    </w:pPr>
    <w:r w:rsidRPr="00721A55">
      <w:t xml:space="preserve">STANDARD OPERATING PROCEDURES </w:t>
    </w:r>
  </w:p>
  <w:p w:rsidR="00721A55" w:rsidRDefault="00721A55" w:rsidP="00721A55">
    <w:pPr>
      <w:pBdr>
        <w:bottom w:val="single" w:sz="6" w:space="1" w:color="auto"/>
      </w:pBdr>
      <w:jc w:val="center"/>
      <w:rPr>
        <w:b/>
      </w:rPr>
    </w:pPr>
    <w:r>
      <w:rPr>
        <w:b/>
      </w:rPr>
      <w:t>State Authorization Reciprocity Agreement (SARA) Application Processing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86915"/>
    <w:multiLevelType w:val="hybridMultilevel"/>
    <w:tmpl w:val="5404A2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03"/>
    <w:rsid w:val="00027DB6"/>
    <w:rsid w:val="000C4C13"/>
    <w:rsid w:val="000D2B1B"/>
    <w:rsid w:val="00101C1E"/>
    <w:rsid w:val="001502DA"/>
    <w:rsid w:val="001514D9"/>
    <w:rsid w:val="00183FBA"/>
    <w:rsid w:val="00210B7B"/>
    <w:rsid w:val="00220103"/>
    <w:rsid w:val="00255A96"/>
    <w:rsid w:val="00261DC0"/>
    <w:rsid w:val="002749C6"/>
    <w:rsid w:val="003054DE"/>
    <w:rsid w:val="003430DA"/>
    <w:rsid w:val="003A2DEF"/>
    <w:rsid w:val="003D06D8"/>
    <w:rsid w:val="003D4F88"/>
    <w:rsid w:val="00410426"/>
    <w:rsid w:val="005A1948"/>
    <w:rsid w:val="005A32B5"/>
    <w:rsid w:val="005F163F"/>
    <w:rsid w:val="00665341"/>
    <w:rsid w:val="00721A55"/>
    <w:rsid w:val="007265A3"/>
    <w:rsid w:val="00830B43"/>
    <w:rsid w:val="00834F05"/>
    <w:rsid w:val="0083768D"/>
    <w:rsid w:val="008431EE"/>
    <w:rsid w:val="008871E3"/>
    <w:rsid w:val="008C2E88"/>
    <w:rsid w:val="009571FB"/>
    <w:rsid w:val="009A782F"/>
    <w:rsid w:val="009C4D80"/>
    <w:rsid w:val="00A5575A"/>
    <w:rsid w:val="00A86951"/>
    <w:rsid w:val="00A9616F"/>
    <w:rsid w:val="00AA7B7D"/>
    <w:rsid w:val="00AC169D"/>
    <w:rsid w:val="00AF72A1"/>
    <w:rsid w:val="00B346D1"/>
    <w:rsid w:val="00D43D4B"/>
    <w:rsid w:val="00DC71CA"/>
    <w:rsid w:val="00E833E4"/>
    <w:rsid w:val="00EA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8DE-294E-4BC7-A413-736203BC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103"/>
    <w:pPr>
      <w:ind w:left="720"/>
      <w:contextualSpacing/>
    </w:pPr>
  </w:style>
  <w:style w:type="character" w:styleId="Hyperlink">
    <w:name w:val="Hyperlink"/>
    <w:basedOn w:val="DefaultParagraphFont"/>
    <w:uiPriority w:val="99"/>
    <w:unhideWhenUsed/>
    <w:rsid w:val="00220103"/>
    <w:rPr>
      <w:color w:val="0563C1" w:themeColor="hyperlink"/>
      <w:u w:val="single"/>
    </w:rPr>
  </w:style>
  <w:style w:type="paragraph" w:styleId="Header">
    <w:name w:val="header"/>
    <w:basedOn w:val="Normal"/>
    <w:link w:val="HeaderChar"/>
    <w:uiPriority w:val="99"/>
    <w:unhideWhenUsed/>
    <w:rsid w:val="00721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A55"/>
  </w:style>
  <w:style w:type="paragraph" w:styleId="Footer">
    <w:name w:val="footer"/>
    <w:basedOn w:val="Normal"/>
    <w:link w:val="FooterChar"/>
    <w:uiPriority w:val="99"/>
    <w:unhideWhenUsed/>
    <w:rsid w:val="00721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ipeds/" TargetMode="External"/><Relationship Id="rId13" Type="http://schemas.openxmlformats.org/officeDocument/2006/relationships/hyperlink" Target="file:///T:\ELC\NC%20SARA%20&amp;%20SREB\SARA%20State%20Supplemental%20Sheet%20for%20Institutions.doc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c-sara.org/application/institutional-approval" TargetMode="External"/><Relationship Id="rId12" Type="http://schemas.openxmlformats.org/officeDocument/2006/relationships/hyperlink" Target="https://helc.osse.dc.gov" TargetMode="External"/><Relationship Id="rId17" Type="http://schemas.openxmlformats.org/officeDocument/2006/relationships/hyperlink" Target="http://nc-sara.org/content/sara-manual" TargetMode="External"/><Relationship Id="rId2" Type="http://schemas.openxmlformats.org/officeDocument/2006/relationships/styles" Target="styles.xml"/><Relationship Id="rId16" Type="http://schemas.openxmlformats.org/officeDocument/2006/relationships/hyperlink" Target="https://osse.dc.gov/service/state-authorization-reciprocity-agreement-sar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sara.org/content/reports" TargetMode="External"/><Relationship Id="rId5" Type="http://schemas.openxmlformats.org/officeDocument/2006/relationships/footnotes" Target="footnotes.xml"/><Relationship Id="rId15" Type="http://schemas.openxmlformats.org/officeDocument/2006/relationships/hyperlink" Target="mailto:information@nc-sara.org" TargetMode="External"/><Relationship Id="rId10" Type="http://schemas.openxmlformats.org/officeDocument/2006/relationships/hyperlink" Target="https://studentaid.ed.gov/sa/about/data-center/school/hc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udentaid.ed.gov/sa/about/data-center/school/composite-scores" TargetMode="External"/><Relationship Id="rId14" Type="http://schemas.openxmlformats.org/officeDocument/2006/relationships/hyperlink" Target="https://nc-sara.force.com/community/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Angela (OSSE)</dc:creator>
  <cp:keywords/>
  <dc:description/>
  <cp:lastModifiedBy>Lee, Angela (OSSE)</cp:lastModifiedBy>
  <cp:revision>35</cp:revision>
  <dcterms:created xsi:type="dcterms:W3CDTF">2018-06-15T19:52:00Z</dcterms:created>
  <dcterms:modified xsi:type="dcterms:W3CDTF">2018-08-21T19:16:00Z</dcterms:modified>
</cp:coreProperties>
</file>