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8CFEE" w14:textId="082148FE" w:rsidR="00224E07" w:rsidRPr="00F26750" w:rsidRDefault="001727DF" w:rsidP="004F6E86">
      <w:pPr>
        <w:pStyle w:val="Heading1"/>
        <w:rPr>
          <w:sz w:val="28"/>
          <w:szCs w:val="28"/>
        </w:rPr>
      </w:pPr>
      <w:r w:rsidRPr="00F26750">
        <w:rPr>
          <w:sz w:val="28"/>
          <w:szCs w:val="28"/>
        </w:rPr>
        <w:t xml:space="preserve">SREB-SARA RSC </w:t>
      </w:r>
      <w:r w:rsidR="00314D2D" w:rsidRPr="00F26750">
        <w:rPr>
          <w:sz w:val="28"/>
          <w:szCs w:val="28"/>
        </w:rPr>
        <w:t>Suggestions</w:t>
      </w:r>
      <w:r w:rsidRPr="00F26750">
        <w:rPr>
          <w:sz w:val="28"/>
          <w:szCs w:val="28"/>
        </w:rPr>
        <w:t xml:space="preserve"> </w:t>
      </w:r>
      <w:r w:rsidR="00314D2D" w:rsidRPr="00F26750">
        <w:rPr>
          <w:sz w:val="28"/>
          <w:szCs w:val="28"/>
        </w:rPr>
        <w:t>for</w:t>
      </w:r>
      <w:r w:rsidR="002F7551" w:rsidRPr="00F26750">
        <w:rPr>
          <w:sz w:val="28"/>
          <w:szCs w:val="28"/>
        </w:rPr>
        <w:t xml:space="preserve"> </w:t>
      </w:r>
      <w:r w:rsidR="00314D2D" w:rsidRPr="00F26750">
        <w:rPr>
          <w:sz w:val="28"/>
          <w:szCs w:val="28"/>
        </w:rPr>
        <w:t>Manual Revisions</w:t>
      </w:r>
    </w:p>
    <w:p w14:paraId="412E191E" w14:textId="77777777" w:rsidR="00F26750" w:rsidRDefault="00F26750" w:rsidP="00D5671B">
      <w:pPr>
        <w:pStyle w:val="Heading2"/>
        <w:rPr>
          <w:rFonts w:ascii="Arial" w:hAnsi="Arial" w:cs="Arial"/>
          <w:sz w:val="22"/>
          <w:szCs w:val="22"/>
        </w:rPr>
      </w:pPr>
    </w:p>
    <w:p w14:paraId="19BAD79D" w14:textId="2F0DD842" w:rsidR="00D5671B" w:rsidRPr="00F26750" w:rsidRDefault="00D5671B" w:rsidP="00D5671B">
      <w:pPr>
        <w:pStyle w:val="Heading2"/>
        <w:rPr>
          <w:rFonts w:ascii="Arial" w:hAnsi="Arial" w:cs="Arial"/>
          <w:sz w:val="22"/>
          <w:szCs w:val="22"/>
        </w:rPr>
      </w:pPr>
      <w:r w:rsidRPr="00F26750">
        <w:rPr>
          <w:rFonts w:ascii="Arial" w:hAnsi="Arial" w:cs="Arial"/>
          <w:sz w:val="22"/>
          <w:szCs w:val="22"/>
        </w:rPr>
        <w:t>SARA Manual Tabled Modifications:</w:t>
      </w:r>
    </w:p>
    <w:p w14:paraId="1ED9E61C" w14:textId="16F20939" w:rsidR="000978BD" w:rsidRPr="00F26750" w:rsidRDefault="009E63AB" w:rsidP="002F7551">
      <w:pPr>
        <w:rPr>
          <w:rFonts w:ascii="Arial" w:hAnsi="Arial" w:cs="Arial"/>
          <w:bCs/>
        </w:rPr>
      </w:pPr>
      <w:r w:rsidRPr="00F26750">
        <w:rPr>
          <w:rFonts w:ascii="Arial" w:hAnsi="Arial" w:cs="Arial"/>
          <w:bCs/>
        </w:rPr>
        <w:t xml:space="preserve">The information below </w:t>
      </w:r>
      <w:r w:rsidR="00BE41D1" w:rsidRPr="00F26750">
        <w:rPr>
          <w:rFonts w:ascii="Arial" w:hAnsi="Arial" w:cs="Arial"/>
          <w:bCs/>
        </w:rPr>
        <w:t xml:space="preserve">each </w:t>
      </w:r>
      <w:r w:rsidR="004F6E86" w:rsidRPr="00F26750">
        <w:rPr>
          <w:rFonts w:ascii="Arial" w:hAnsi="Arial" w:cs="Arial"/>
          <w:bCs/>
        </w:rPr>
        <w:t xml:space="preserve">category of </w:t>
      </w:r>
      <w:r w:rsidR="00BE41D1" w:rsidRPr="00F26750">
        <w:rPr>
          <w:rFonts w:ascii="Arial" w:hAnsi="Arial" w:cs="Arial"/>
          <w:bCs/>
        </w:rPr>
        <w:t xml:space="preserve">tabled item </w:t>
      </w:r>
      <w:r w:rsidR="004F6E86" w:rsidRPr="00F26750">
        <w:rPr>
          <w:rFonts w:ascii="Arial" w:hAnsi="Arial" w:cs="Arial"/>
          <w:bCs/>
        </w:rPr>
        <w:t>titled</w:t>
      </w:r>
      <w:r w:rsidR="00BE41D1" w:rsidRPr="00F26750">
        <w:rPr>
          <w:rFonts w:ascii="Arial" w:hAnsi="Arial" w:cs="Arial"/>
          <w:bCs/>
        </w:rPr>
        <w:t xml:space="preserve"> Previous Comments</w:t>
      </w:r>
      <w:r w:rsidRPr="00F26750">
        <w:rPr>
          <w:rFonts w:ascii="Arial" w:hAnsi="Arial" w:cs="Arial"/>
          <w:bCs/>
        </w:rPr>
        <w:t xml:space="preserve"> is </w:t>
      </w:r>
      <w:r w:rsidR="00C47F9B" w:rsidRPr="00F26750">
        <w:rPr>
          <w:rFonts w:ascii="Arial" w:hAnsi="Arial" w:cs="Arial"/>
          <w:bCs/>
        </w:rPr>
        <w:t>the feedback that was sent to NC-SARA staff prior to the May Board meeting</w:t>
      </w:r>
      <w:r w:rsidR="00A87454" w:rsidRPr="00F26750">
        <w:rPr>
          <w:rFonts w:ascii="Arial" w:hAnsi="Arial" w:cs="Arial"/>
          <w:bCs/>
        </w:rPr>
        <w:t xml:space="preserve">. </w:t>
      </w:r>
      <w:r w:rsidR="00C47F9B" w:rsidRPr="00F26750">
        <w:rPr>
          <w:rFonts w:ascii="Arial" w:hAnsi="Arial" w:cs="Arial"/>
          <w:bCs/>
        </w:rPr>
        <w:t xml:space="preserve">Please </w:t>
      </w:r>
      <w:r w:rsidR="00BE41D1" w:rsidRPr="00F26750">
        <w:rPr>
          <w:rFonts w:ascii="Arial" w:hAnsi="Arial" w:cs="Arial"/>
          <w:bCs/>
        </w:rPr>
        <w:t>provide your suggested edits under Revised Comments</w:t>
      </w:r>
      <w:r w:rsidR="00C47F9B" w:rsidRPr="00F26750">
        <w:rPr>
          <w:rFonts w:ascii="Arial" w:hAnsi="Arial" w:cs="Arial"/>
          <w:bCs/>
        </w:rPr>
        <w:t xml:space="preserve">. </w:t>
      </w:r>
      <w:r w:rsidR="004F6E86" w:rsidRPr="00F26750">
        <w:rPr>
          <w:rFonts w:ascii="Arial" w:hAnsi="Arial" w:cs="Arial"/>
          <w:bCs/>
        </w:rPr>
        <w:t>If you are fine with the previous comments, please say so.</w:t>
      </w:r>
    </w:p>
    <w:p w14:paraId="47F39BFA" w14:textId="4EEDE380" w:rsidR="00AD3C92" w:rsidRPr="00F26750" w:rsidRDefault="00C47F9B" w:rsidP="00BE41D1">
      <w:pPr>
        <w:pStyle w:val="Heading3"/>
        <w:rPr>
          <w:rFonts w:ascii="Arial" w:eastAsia="MS Mincho" w:hAnsi="Arial" w:cs="Arial"/>
          <w:sz w:val="22"/>
          <w:szCs w:val="22"/>
        </w:rPr>
      </w:pPr>
      <w:r w:rsidRPr="00F26750">
        <w:rPr>
          <w:rFonts w:ascii="Arial" w:eastAsia="MS Mincho" w:hAnsi="Arial" w:cs="Arial"/>
          <w:sz w:val="22"/>
          <w:szCs w:val="22"/>
        </w:rPr>
        <w:t>Items regarding Complaints:</w:t>
      </w:r>
    </w:p>
    <w:p w14:paraId="3F59D8B3" w14:textId="77777777" w:rsidR="002F7551" w:rsidRPr="00F26750" w:rsidRDefault="002F7551" w:rsidP="00C47F9B">
      <w:pPr>
        <w:tabs>
          <w:tab w:val="left" w:pos="360"/>
        </w:tabs>
        <w:spacing w:after="0" w:line="240" w:lineRule="auto"/>
        <w:rPr>
          <w:rFonts w:ascii="Arial" w:hAnsi="Arial" w:cs="Arial"/>
          <w:bCs/>
        </w:rPr>
      </w:pPr>
      <w:r w:rsidRPr="00F26750">
        <w:rPr>
          <w:rFonts w:ascii="Arial" w:eastAsia="MS Mincho" w:hAnsi="Arial" w:cs="Arial"/>
          <w:b/>
        </w:rPr>
        <w:t>Section 2.5(i)(7)</w:t>
      </w:r>
      <w:r w:rsidRPr="00F26750">
        <w:rPr>
          <w:rFonts w:ascii="Arial" w:eastAsia="MS Mincho" w:hAnsi="Arial" w:cs="Arial"/>
          <w:bCs/>
        </w:rPr>
        <w:t xml:space="preserve"> clarification of SARA student complaints attending an out-of-state branch campus.</w:t>
      </w:r>
    </w:p>
    <w:p w14:paraId="7BF6E176" w14:textId="28210D17" w:rsidR="00C47F9B" w:rsidRPr="00F26750" w:rsidRDefault="00C47F9B" w:rsidP="00C47F9B">
      <w:pPr>
        <w:tabs>
          <w:tab w:val="left" w:pos="360"/>
        </w:tabs>
        <w:spacing w:after="0" w:line="240" w:lineRule="auto"/>
        <w:rPr>
          <w:rFonts w:ascii="Arial" w:eastAsia="MS Mincho" w:hAnsi="Arial" w:cs="Arial"/>
          <w:bCs/>
          <w:color w:val="000000" w:themeColor="text1"/>
        </w:rPr>
      </w:pPr>
      <w:r w:rsidRPr="00F26750">
        <w:rPr>
          <w:rFonts w:ascii="Arial" w:eastAsia="MS Mincho" w:hAnsi="Arial" w:cs="Arial"/>
          <w:b/>
          <w:color w:val="000000" w:themeColor="text1"/>
        </w:rPr>
        <w:t>Section 4.4(d)</w:t>
      </w:r>
      <w:r w:rsidRPr="00F26750">
        <w:rPr>
          <w:rFonts w:ascii="Arial" w:eastAsia="MS Mincho" w:hAnsi="Arial" w:cs="Arial"/>
          <w:bCs/>
          <w:color w:val="000000" w:themeColor="text1"/>
        </w:rPr>
        <w:t xml:space="preserve"> treatment of SARA student complaints from a branch campus.</w:t>
      </w:r>
    </w:p>
    <w:p w14:paraId="221ABDA9" w14:textId="77777777" w:rsidR="00F26750" w:rsidRPr="00F26750" w:rsidRDefault="00F26750" w:rsidP="00C47F9B">
      <w:pPr>
        <w:tabs>
          <w:tab w:val="left" w:pos="360"/>
        </w:tabs>
        <w:spacing w:after="0" w:line="240" w:lineRule="auto"/>
        <w:rPr>
          <w:rFonts w:ascii="Arial" w:eastAsia="MS Mincho" w:hAnsi="Arial" w:cs="Arial"/>
          <w:b/>
          <w:color w:val="000000" w:themeColor="text1"/>
        </w:rPr>
      </w:pPr>
    </w:p>
    <w:p w14:paraId="16FFF935" w14:textId="060C54B8" w:rsidR="00C47F9B" w:rsidRPr="00F26750" w:rsidRDefault="00C47F9B" w:rsidP="00C47F9B">
      <w:pPr>
        <w:tabs>
          <w:tab w:val="left" w:pos="360"/>
        </w:tabs>
        <w:spacing w:after="0" w:line="240" w:lineRule="auto"/>
        <w:rPr>
          <w:rFonts w:ascii="Arial" w:eastAsia="MS Mincho" w:hAnsi="Arial" w:cs="Arial"/>
          <w:bCs/>
          <w:color w:val="000000" w:themeColor="text1"/>
        </w:rPr>
      </w:pPr>
      <w:r w:rsidRPr="00F26750">
        <w:rPr>
          <w:rFonts w:ascii="Arial" w:eastAsia="MS Mincho" w:hAnsi="Arial" w:cs="Arial"/>
          <w:b/>
          <w:color w:val="000000" w:themeColor="text1"/>
        </w:rPr>
        <w:t>Previous Comments:</w:t>
      </w:r>
      <w:r w:rsidRPr="00F26750">
        <w:rPr>
          <w:rFonts w:ascii="Arial" w:eastAsia="MS Mincho" w:hAnsi="Arial" w:cs="Arial"/>
          <w:bCs/>
          <w:color w:val="000000" w:themeColor="text1"/>
        </w:rPr>
        <w:t xml:space="preserve">  The group had discussions about the home state being responsible for activities of the branch campus in the host state and </w:t>
      </w:r>
      <w:proofErr w:type="gramStart"/>
      <w:r w:rsidRPr="00F26750">
        <w:rPr>
          <w:rFonts w:ascii="Arial" w:eastAsia="MS Mincho" w:hAnsi="Arial" w:cs="Arial"/>
          <w:bCs/>
          <w:color w:val="000000" w:themeColor="text1"/>
        </w:rPr>
        <w:t>shouldn’t</w:t>
      </w:r>
      <w:proofErr w:type="gramEnd"/>
      <w:r w:rsidRPr="00F26750">
        <w:rPr>
          <w:rFonts w:ascii="Arial" w:eastAsia="MS Mincho" w:hAnsi="Arial" w:cs="Arial"/>
          <w:bCs/>
          <w:color w:val="000000" w:themeColor="text1"/>
        </w:rPr>
        <w:t xml:space="preserve"> they communicate between states. SARA staff confirmed that it is fine for the home and host states to confer or communicate with each other, but the home state has the authority for the decision. Additionally, states have authority over complaints in their state, but once it goes out of state, that falls under SARA and the home state of the institution is responsible and has authority to resolve.</w:t>
      </w:r>
    </w:p>
    <w:p w14:paraId="24EE09BD" w14:textId="77777777" w:rsidR="00F26750" w:rsidRPr="00F26750" w:rsidRDefault="00F26750" w:rsidP="00C47F9B">
      <w:pPr>
        <w:tabs>
          <w:tab w:val="left" w:pos="360"/>
        </w:tabs>
        <w:spacing w:after="0" w:line="240" w:lineRule="auto"/>
        <w:rPr>
          <w:rFonts w:ascii="Arial" w:eastAsia="MS Mincho" w:hAnsi="Arial" w:cs="Arial"/>
          <w:b/>
          <w:color w:val="000000" w:themeColor="text1"/>
        </w:rPr>
      </w:pPr>
    </w:p>
    <w:p w14:paraId="49346267" w14:textId="0FABF754" w:rsidR="00C47F9B" w:rsidRPr="00F26750" w:rsidRDefault="00C47F9B"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00F26750" w:rsidRPr="00F26750">
        <w:rPr>
          <w:rFonts w:ascii="Arial" w:eastAsia="MS Mincho" w:hAnsi="Arial" w:cs="Arial"/>
          <w:bCs/>
          <w:color w:val="000000" w:themeColor="text1"/>
        </w:rPr>
        <w:t xml:space="preserve"> </w:t>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r w:rsidR="00F26750" w:rsidRPr="00F26750">
        <w:rPr>
          <w:rFonts w:ascii="Arial" w:eastAsia="MS Mincho" w:hAnsi="Arial" w:cs="Arial"/>
          <w:bCs/>
          <w:color w:val="000000" w:themeColor="text1"/>
          <w:u w:val="single"/>
        </w:rPr>
        <w:tab/>
      </w:r>
    </w:p>
    <w:p w14:paraId="533BFC13" w14:textId="4DFABFC4" w:rsidR="00F26750" w:rsidRP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79B9A78" w14:textId="02855037" w:rsidR="00F26750" w:rsidRP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4F62EFEC" w14:textId="1B9F07B5" w:rsidR="00F26750" w:rsidRDefault="00F26750" w:rsidP="00C47F9B">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EF76E1D" w14:textId="54A212A4" w:rsidR="00F26750" w:rsidRPr="00F26750" w:rsidRDefault="00F26750" w:rsidP="00C47F9B">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2767F50E" w14:textId="77777777" w:rsidR="00C47F9B" w:rsidRPr="00F26750" w:rsidRDefault="00C47F9B" w:rsidP="00C47F9B">
      <w:pPr>
        <w:tabs>
          <w:tab w:val="left" w:pos="360"/>
        </w:tabs>
        <w:spacing w:after="0" w:line="240" w:lineRule="auto"/>
        <w:rPr>
          <w:rFonts w:ascii="Arial" w:eastAsia="MS Mincho" w:hAnsi="Arial" w:cs="Arial"/>
          <w:bCs/>
          <w:color w:val="000000" w:themeColor="text1"/>
        </w:rPr>
      </w:pPr>
    </w:p>
    <w:p w14:paraId="27A88353" w14:textId="273BAD5B" w:rsidR="00C47F9B" w:rsidRPr="00F26750" w:rsidRDefault="00C47F9B" w:rsidP="00BE41D1">
      <w:pPr>
        <w:pStyle w:val="Heading3"/>
        <w:rPr>
          <w:rFonts w:ascii="Arial" w:eastAsia="MS Mincho" w:hAnsi="Arial" w:cs="Arial"/>
          <w:sz w:val="22"/>
          <w:szCs w:val="22"/>
        </w:rPr>
      </w:pPr>
      <w:r w:rsidRPr="00F26750">
        <w:rPr>
          <w:rFonts w:ascii="Arial" w:eastAsia="MS Mincho" w:hAnsi="Arial" w:cs="Arial"/>
          <w:sz w:val="22"/>
          <w:szCs w:val="22"/>
        </w:rPr>
        <w:t>Items regarding Branch Campuses:</w:t>
      </w:r>
    </w:p>
    <w:p w14:paraId="11E51696" w14:textId="77777777" w:rsidR="00314D2D" w:rsidRPr="00F26750" w:rsidRDefault="002F7551" w:rsidP="00314D2D">
      <w:pPr>
        <w:tabs>
          <w:tab w:val="left" w:pos="360"/>
        </w:tabs>
        <w:spacing w:after="0" w:line="240" w:lineRule="auto"/>
        <w:rPr>
          <w:rFonts w:ascii="Arial" w:eastAsia="MS Mincho" w:hAnsi="Arial" w:cs="Arial"/>
          <w:bCs/>
        </w:rPr>
      </w:pPr>
      <w:r w:rsidRPr="00F26750">
        <w:rPr>
          <w:rFonts w:ascii="Arial" w:eastAsia="MS Mincho" w:hAnsi="Arial" w:cs="Arial"/>
          <w:b/>
        </w:rPr>
        <w:t>Section 2.5(o)</w:t>
      </w:r>
      <w:r w:rsidRPr="00F26750">
        <w:rPr>
          <w:rFonts w:ascii="Arial" w:eastAsia="MS Mincho" w:hAnsi="Arial" w:cs="Arial"/>
          <w:bCs/>
        </w:rPr>
        <w:t xml:space="preserve"> clarification of regulation of online/Distance Education activities by the Host State.</w:t>
      </w:r>
    </w:p>
    <w:p w14:paraId="4732904A" w14:textId="30818F79" w:rsidR="002F7551" w:rsidRPr="00F26750" w:rsidRDefault="000978B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
          <w:color w:val="000000" w:themeColor="text1"/>
        </w:rPr>
        <w:t>Section 5.7(a)</w:t>
      </w:r>
      <w:r w:rsidRPr="00F26750">
        <w:rPr>
          <w:rFonts w:ascii="Arial" w:eastAsia="MS Gothic" w:hAnsi="Arial" w:cs="Arial"/>
          <w:bCs/>
          <w:color w:val="000000" w:themeColor="text1"/>
        </w:rPr>
        <w:t xml:space="preserve"> to align with SARA Policy, add, “and the provisions of section 2.5, subsections n and o.</w:t>
      </w:r>
    </w:p>
    <w:p w14:paraId="616EAED9" w14:textId="77777777" w:rsidR="00F26750" w:rsidRDefault="00F26750" w:rsidP="00314D2D">
      <w:pPr>
        <w:tabs>
          <w:tab w:val="left" w:pos="360"/>
        </w:tabs>
        <w:spacing w:after="0" w:line="240" w:lineRule="auto"/>
        <w:rPr>
          <w:rFonts w:ascii="Arial" w:eastAsia="MS Gothic" w:hAnsi="Arial" w:cs="Arial"/>
          <w:b/>
          <w:color w:val="000000" w:themeColor="text1"/>
        </w:rPr>
      </w:pPr>
    </w:p>
    <w:p w14:paraId="1FD1A1A8" w14:textId="77777777" w:rsid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
          <w:color w:val="000000" w:themeColor="text1"/>
        </w:rPr>
        <w:t>Previous Comments:</w:t>
      </w:r>
      <w:r w:rsidRPr="00F26750">
        <w:rPr>
          <w:rFonts w:ascii="Arial" w:eastAsia="MS Gothic" w:hAnsi="Arial" w:cs="Arial"/>
          <w:bCs/>
          <w:color w:val="000000" w:themeColor="text1"/>
        </w:rPr>
        <w:t xml:space="preserve"> The phrase (under SARA provisions) was questioned, but the advice was to ignore the information in parentheses and read the text without it. SARA provisions for physical presence are different than the state by state triggers for physical presence because each state differs.</w:t>
      </w:r>
      <w:r w:rsidR="00F26750">
        <w:rPr>
          <w:rFonts w:ascii="Arial" w:eastAsia="MS Gothic" w:hAnsi="Arial" w:cs="Arial"/>
          <w:bCs/>
          <w:color w:val="000000" w:themeColor="text1"/>
        </w:rPr>
        <w:t xml:space="preserve"> </w:t>
      </w:r>
    </w:p>
    <w:p w14:paraId="7685AB29" w14:textId="77777777" w:rsidR="00F26750" w:rsidRDefault="00F26750" w:rsidP="00314D2D">
      <w:pPr>
        <w:tabs>
          <w:tab w:val="left" w:pos="360"/>
        </w:tabs>
        <w:spacing w:after="0" w:line="240" w:lineRule="auto"/>
        <w:rPr>
          <w:rFonts w:ascii="Arial" w:eastAsia="MS Gothic" w:hAnsi="Arial" w:cs="Arial"/>
          <w:bCs/>
          <w:color w:val="000000" w:themeColor="text1"/>
        </w:rPr>
      </w:pPr>
    </w:p>
    <w:p w14:paraId="40289353" w14:textId="483363BA" w:rsidR="00314D2D" w:rsidRP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Cs/>
          <w:color w:val="000000" w:themeColor="text1"/>
        </w:rPr>
        <w:t xml:space="preserve">Some committee members had serious concerns over the statement that the host state cannot regulate activity outside the state. They felt that changes in the red line document change ongoing practices in their states. Two states had very strong opposition and one other was concerned but did not provide examples of conflicting state vs. SARA policies or practices. One state strongly disagrees with this change and feels it could jeopardize their state remaining in SARA. It goes against what they feel they agreed to when they joined NC-SARA. At least two states feel that between 2015 and 2020, SARA has changed its stance on how this is interpreted. One state changed its policy after hearing at a SPE meeting in 2016 that they had interpreted it incorrectly, but now they feel they would have to revert to their earlier policy if the May 2020 changes are approved. These changes have affected their operating revenue and oversight. This state’s regulations look at each individual institution’s physical address as a separate institution to regulate. Some felt that the interpretation of these policies depends heavily on how institution and branch campus are defined, and that SARA should take a closer look at the definitions. They mentioned that it was not until 2019 that a branch campus was defined by SARA. Some SPEs feel that NC-SARA should address who is the accountable actor in these sections and provide what their actions should or should not be. These same states feel that SARA policies and explanatory notes contradict each other when there are institutions and branch campuses doing both on-ground and online education in multiple states. One state asked that NC-SARA define what “operating outside of SARA” means. It has been interpreted that if an institution operates outside of SARA then the host state has the authority to treat the institution as a non-SARA institution and all of the state authorization regulations of the host state apply to that institution. Is the manual section 5.10 a. 1-8 the correct criteria for “operating outside of SARA?” If not, what are the criteria and if the institution goes outside of that scope, then do the host state’s laws apply? These two states asked that SARA postpone these changes and review the definitions of institution, branch campus, and “operating outside of SARA” before implementing the changes to </w:t>
      </w:r>
      <w:r w:rsidRPr="00F26750">
        <w:rPr>
          <w:rFonts w:ascii="Arial" w:eastAsia="MS Gothic" w:hAnsi="Arial" w:cs="Arial"/>
          <w:bCs/>
          <w:color w:val="000000" w:themeColor="text1"/>
        </w:rPr>
        <w:lastRenderedPageBreak/>
        <w:t>2.5(o) and (n) and 5.7 (a), since it refers to these sections. They felt that these were not clarifications but instead were changes to interpretation of policies.</w:t>
      </w:r>
    </w:p>
    <w:p w14:paraId="7B35E81C" w14:textId="77777777" w:rsidR="00F26750" w:rsidRDefault="00F26750" w:rsidP="00314D2D">
      <w:pPr>
        <w:tabs>
          <w:tab w:val="left" w:pos="360"/>
        </w:tabs>
        <w:spacing w:after="0" w:line="240" w:lineRule="auto"/>
        <w:rPr>
          <w:rFonts w:ascii="Arial" w:eastAsia="MS Gothic" w:hAnsi="Arial" w:cs="Arial"/>
          <w:bCs/>
          <w:color w:val="000000" w:themeColor="text1"/>
        </w:rPr>
      </w:pPr>
    </w:p>
    <w:p w14:paraId="7DD5B76F" w14:textId="0A626128" w:rsidR="00314D2D" w:rsidRPr="00F26750" w:rsidRDefault="00314D2D" w:rsidP="00314D2D">
      <w:pPr>
        <w:tabs>
          <w:tab w:val="left" w:pos="360"/>
        </w:tabs>
        <w:spacing w:after="0" w:line="240" w:lineRule="auto"/>
        <w:rPr>
          <w:rFonts w:ascii="Arial" w:eastAsia="MS Gothic" w:hAnsi="Arial" w:cs="Arial"/>
          <w:bCs/>
          <w:color w:val="000000" w:themeColor="text1"/>
        </w:rPr>
      </w:pPr>
      <w:r w:rsidRPr="00F26750">
        <w:rPr>
          <w:rFonts w:ascii="Arial" w:eastAsia="MS Gothic" w:hAnsi="Arial" w:cs="Arial"/>
          <w:bCs/>
          <w:color w:val="000000" w:themeColor="text1"/>
        </w:rPr>
        <w:t>Requested Consideration: Due to strong reactions from multiple states, NC-SARA should consider tabling this portion of the policy updates until the fall board meeting.</w:t>
      </w:r>
    </w:p>
    <w:p w14:paraId="202E479C" w14:textId="77777777" w:rsidR="00BE41D1" w:rsidRPr="00F26750" w:rsidRDefault="00BE41D1" w:rsidP="00BE41D1">
      <w:pPr>
        <w:pStyle w:val="Heading2"/>
        <w:rPr>
          <w:rFonts w:ascii="Arial" w:hAnsi="Arial" w:cs="Arial"/>
          <w:sz w:val="22"/>
          <w:szCs w:val="22"/>
        </w:rPr>
      </w:pPr>
    </w:p>
    <w:p w14:paraId="0FFCA2ED"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A0314B8"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33EC0A5"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9713FB3"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8A593FD"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3B8A3398" w14:textId="77777777" w:rsidR="00BE41D1" w:rsidRPr="00F26750" w:rsidRDefault="00BE41D1" w:rsidP="00BE41D1">
      <w:pPr>
        <w:pStyle w:val="Heading2"/>
        <w:rPr>
          <w:rFonts w:ascii="Arial" w:hAnsi="Arial" w:cs="Arial"/>
          <w:sz w:val="22"/>
          <w:szCs w:val="22"/>
        </w:rPr>
      </w:pPr>
    </w:p>
    <w:p w14:paraId="46861532" w14:textId="2A7DEA17" w:rsidR="00BE41D1" w:rsidRPr="00F26750" w:rsidRDefault="00BE41D1" w:rsidP="00BE41D1">
      <w:pPr>
        <w:pStyle w:val="Heading2"/>
        <w:rPr>
          <w:sz w:val="22"/>
          <w:szCs w:val="22"/>
        </w:rPr>
      </w:pPr>
      <w:r w:rsidRPr="00F26750">
        <w:rPr>
          <w:sz w:val="22"/>
          <w:szCs w:val="22"/>
        </w:rPr>
        <w:t>New Definitions:</w:t>
      </w:r>
    </w:p>
    <w:p w14:paraId="049A34C8" w14:textId="77777777" w:rsidR="004F6E86" w:rsidRPr="00F26750" w:rsidRDefault="00BE41D1" w:rsidP="00BE41D1">
      <w:pPr>
        <w:rPr>
          <w:rFonts w:ascii="Arial" w:hAnsi="Arial" w:cs="Arial"/>
        </w:rPr>
      </w:pPr>
      <w:r w:rsidRPr="00F26750">
        <w:rPr>
          <w:rFonts w:ascii="Arial" w:hAnsi="Arial" w:cs="Arial"/>
        </w:rPr>
        <w:t>General Purpose Law</w:t>
      </w:r>
    </w:p>
    <w:p w14:paraId="20E7F183" w14:textId="5842BECE" w:rsidR="00BE41D1" w:rsidRPr="00F26750" w:rsidRDefault="004F6E86" w:rsidP="00BE41D1">
      <w:pPr>
        <w:rPr>
          <w:rFonts w:ascii="Arial" w:hAnsi="Arial" w:cs="Arial"/>
        </w:rPr>
      </w:pPr>
      <w:r w:rsidRPr="00F26750">
        <w:rPr>
          <w:rFonts w:ascii="Arial" w:hAnsi="Arial" w:cs="Arial"/>
        </w:rPr>
        <w:t>Operating Outside of SARA</w:t>
      </w:r>
      <w:r w:rsidR="00BE41D1" w:rsidRPr="00F26750">
        <w:rPr>
          <w:rFonts w:ascii="Arial" w:hAnsi="Arial" w:cs="Arial"/>
        </w:rPr>
        <w:t xml:space="preserve"> </w:t>
      </w:r>
    </w:p>
    <w:p w14:paraId="432B2235"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CC282A"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7B2DB616"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3AF5A3D"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9258D89"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16D004F3" w14:textId="77777777" w:rsidR="00BE41D1" w:rsidRPr="00F26750" w:rsidRDefault="00BE41D1" w:rsidP="00BE41D1">
      <w:pPr>
        <w:pStyle w:val="Heading2"/>
        <w:rPr>
          <w:rFonts w:ascii="Arial" w:hAnsi="Arial" w:cs="Arial"/>
          <w:sz w:val="22"/>
          <w:szCs w:val="22"/>
        </w:rPr>
      </w:pPr>
    </w:p>
    <w:p w14:paraId="280A6E98" w14:textId="3FEA33BF" w:rsidR="00BE41D1" w:rsidRPr="00F26750" w:rsidRDefault="00BE41D1" w:rsidP="00BE41D1">
      <w:pPr>
        <w:pStyle w:val="Heading2"/>
        <w:rPr>
          <w:sz w:val="22"/>
          <w:szCs w:val="22"/>
        </w:rPr>
      </w:pPr>
      <w:r w:rsidRPr="00F26750">
        <w:rPr>
          <w:sz w:val="22"/>
          <w:szCs w:val="22"/>
        </w:rPr>
        <w:t>Existing Definitions:</w:t>
      </w:r>
    </w:p>
    <w:p w14:paraId="7751A760" w14:textId="52F9CDB6" w:rsidR="00314D2D" w:rsidRPr="00F26750" w:rsidRDefault="00BE41D1" w:rsidP="004F6E86">
      <w:pPr>
        <w:rPr>
          <w:rFonts w:ascii="Arial" w:hAnsi="Arial" w:cs="Arial"/>
        </w:rPr>
      </w:pPr>
      <w:r w:rsidRPr="00F26750">
        <w:rPr>
          <w:rFonts w:ascii="Arial" w:hAnsi="Arial" w:cs="Arial"/>
        </w:rPr>
        <w:t>Branch Campus</w:t>
      </w:r>
    </w:p>
    <w:p w14:paraId="54558DDE" w14:textId="162AF739" w:rsidR="00BE41D1" w:rsidRPr="00F26750" w:rsidRDefault="004F6E86" w:rsidP="004F6E86">
      <w:pPr>
        <w:rPr>
          <w:rFonts w:ascii="Arial" w:hAnsi="Arial" w:cs="Arial"/>
        </w:rPr>
      </w:pPr>
      <w:r w:rsidRPr="00F26750">
        <w:rPr>
          <w:rFonts w:ascii="Arial" w:hAnsi="Arial" w:cs="Arial"/>
        </w:rPr>
        <w:t>Institution</w:t>
      </w:r>
    </w:p>
    <w:p w14:paraId="50B37D29"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0D5772C"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498E53"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68E600F5"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5ABFAC0A"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660C4E6B" w14:textId="01294274" w:rsidR="00BE41D1" w:rsidRPr="00F26750" w:rsidRDefault="00BE41D1" w:rsidP="00314D2D">
      <w:pPr>
        <w:tabs>
          <w:tab w:val="left" w:pos="360"/>
        </w:tabs>
        <w:spacing w:after="0" w:line="240" w:lineRule="auto"/>
        <w:rPr>
          <w:rFonts w:ascii="Arial" w:eastAsia="MS Mincho" w:hAnsi="Arial" w:cs="Arial"/>
          <w:bCs/>
        </w:rPr>
      </w:pPr>
    </w:p>
    <w:p w14:paraId="00473439" w14:textId="77777777" w:rsidR="00BE41D1" w:rsidRPr="00F26750" w:rsidRDefault="00BE41D1" w:rsidP="00BE41D1">
      <w:pPr>
        <w:pStyle w:val="Heading2"/>
        <w:rPr>
          <w:sz w:val="22"/>
          <w:szCs w:val="22"/>
        </w:rPr>
      </w:pPr>
      <w:r w:rsidRPr="00F26750">
        <w:rPr>
          <w:sz w:val="22"/>
          <w:szCs w:val="22"/>
        </w:rPr>
        <w:t>New Policies:</w:t>
      </w:r>
    </w:p>
    <w:p w14:paraId="46AB0DCD" w14:textId="77777777" w:rsidR="00BE41D1" w:rsidRPr="00F26750" w:rsidRDefault="00BE41D1" w:rsidP="00BE41D1">
      <w:pPr>
        <w:rPr>
          <w:rFonts w:ascii="Arial" w:hAnsi="Arial" w:cs="Arial"/>
        </w:rPr>
      </w:pPr>
      <w:r w:rsidRPr="00F26750">
        <w:rPr>
          <w:rFonts w:ascii="Arial" w:hAnsi="Arial" w:cs="Arial"/>
        </w:rPr>
        <w:t>New section number or insert in existing section?</w:t>
      </w:r>
    </w:p>
    <w:p w14:paraId="2B3D59ED" w14:textId="074753A4" w:rsidR="00BE41D1" w:rsidRPr="00F26750" w:rsidRDefault="00BE41D1" w:rsidP="00BE41D1">
      <w:pPr>
        <w:rPr>
          <w:rFonts w:ascii="Arial" w:hAnsi="Arial" w:cs="Arial"/>
        </w:rPr>
      </w:pPr>
      <w:r w:rsidRPr="00F26750">
        <w:rPr>
          <w:rFonts w:ascii="Arial" w:hAnsi="Arial" w:cs="Arial"/>
        </w:rPr>
        <w:t xml:space="preserve">Please provide justifications for new policy and examples/scenarios for explanation. </w:t>
      </w:r>
    </w:p>
    <w:p w14:paraId="0637F133"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B2CE4C8"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7451896C"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7711D9FC"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02E48C2A"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4588DE31" w14:textId="2EC0E3EE" w:rsidR="00BE41D1" w:rsidRPr="00F26750" w:rsidRDefault="00BE41D1" w:rsidP="00314D2D">
      <w:pPr>
        <w:tabs>
          <w:tab w:val="left" w:pos="360"/>
        </w:tabs>
        <w:spacing w:after="0" w:line="240" w:lineRule="auto"/>
        <w:rPr>
          <w:rFonts w:ascii="Arial" w:eastAsia="MS Mincho" w:hAnsi="Arial" w:cs="Arial"/>
          <w:bCs/>
        </w:rPr>
      </w:pPr>
    </w:p>
    <w:p w14:paraId="26E9C6B6" w14:textId="77777777" w:rsidR="00BE41D1" w:rsidRPr="00F26750" w:rsidRDefault="00BE41D1" w:rsidP="00BE41D1">
      <w:pPr>
        <w:pStyle w:val="Heading2"/>
        <w:rPr>
          <w:sz w:val="22"/>
          <w:szCs w:val="22"/>
        </w:rPr>
      </w:pPr>
      <w:r w:rsidRPr="00F26750">
        <w:rPr>
          <w:sz w:val="22"/>
          <w:szCs w:val="22"/>
        </w:rPr>
        <w:t>Existing Policies:</w:t>
      </w:r>
    </w:p>
    <w:p w14:paraId="7178F30E" w14:textId="0B51A0B8" w:rsidR="00BE41D1" w:rsidRPr="00F26750" w:rsidRDefault="00D5671B" w:rsidP="00BE41D1">
      <w:pPr>
        <w:rPr>
          <w:rFonts w:ascii="Arial" w:hAnsi="Arial" w:cs="Arial"/>
        </w:rPr>
      </w:pPr>
      <w:r w:rsidRPr="00F26750">
        <w:rPr>
          <w:rFonts w:ascii="Arial" w:hAnsi="Arial" w:cs="Arial"/>
        </w:rPr>
        <w:t>Provide c</w:t>
      </w:r>
      <w:r w:rsidR="00BE41D1" w:rsidRPr="00F26750">
        <w:rPr>
          <w:rFonts w:ascii="Arial" w:hAnsi="Arial" w:cs="Arial"/>
        </w:rPr>
        <w:t xml:space="preserve">urrent section number: </w:t>
      </w:r>
    </w:p>
    <w:p w14:paraId="4811501B" w14:textId="22538B3A" w:rsidR="00BE41D1" w:rsidRPr="00F26750" w:rsidRDefault="00D5671B" w:rsidP="00BE41D1">
      <w:pPr>
        <w:rPr>
          <w:rFonts w:ascii="Arial" w:hAnsi="Arial" w:cs="Arial"/>
        </w:rPr>
      </w:pPr>
      <w:r w:rsidRPr="00F26750">
        <w:rPr>
          <w:rFonts w:ascii="Arial" w:hAnsi="Arial" w:cs="Arial"/>
        </w:rPr>
        <w:t>Please p</w:t>
      </w:r>
      <w:r w:rsidR="00BE41D1" w:rsidRPr="00F26750">
        <w:rPr>
          <w:rFonts w:ascii="Arial" w:hAnsi="Arial" w:cs="Arial"/>
        </w:rPr>
        <w:t xml:space="preserve">rovide justifications for revision to policy and examples/scenarios for explanation. </w:t>
      </w:r>
    </w:p>
    <w:p w14:paraId="14E1E53A"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
          <w:color w:val="000000" w:themeColor="text1"/>
        </w:rPr>
        <w:t>Revised Comments:</w:t>
      </w:r>
      <w:r w:rsidRPr="00F26750">
        <w:rPr>
          <w:rFonts w:ascii="Arial" w:eastAsia="MS Mincho" w:hAnsi="Arial" w:cs="Arial"/>
          <w:bCs/>
          <w:color w:val="000000" w:themeColor="text1"/>
        </w:rPr>
        <w:t xml:space="preserve"> </w:t>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9239DDE"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266C162E" w14:textId="77777777" w:rsidR="00F26750" w:rsidRP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1B9BB5F5" w14:textId="77777777" w:rsidR="00F26750" w:rsidRDefault="00F26750" w:rsidP="00F26750">
      <w:pPr>
        <w:tabs>
          <w:tab w:val="left" w:pos="360"/>
        </w:tabs>
        <w:spacing w:after="0" w:line="240" w:lineRule="auto"/>
        <w:rPr>
          <w:rFonts w:ascii="Arial" w:eastAsia="MS Mincho" w:hAnsi="Arial" w:cs="Arial"/>
          <w:bCs/>
          <w:color w:val="000000" w:themeColor="text1"/>
          <w:u w:val="single"/>
        </w:rPr>
      </w:pP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r w:rsidRPr="00F26750">
        <w:rPr>
          <w:rFonts w:ascii="Arial" w:eastAsia="MS Mincho" w:hAnsi="Arial" w:cs="Arial"/>
          <w:bCs/>
          <w:color w:val="000000" w:themeColor="text1"/>
          <w:u w:val="single"/>
        </w:rPr>
        <w:tab/>
      </w:r>
    </w:p>
    <w:p w14:paraId="3FA04A47" w14:textId="77777777" w:rsidR="00F26750" w:rsidRPr="00F26750" w:rsidRDefault="00F26750" w:rsidP="00F26750">
      <w:pPr>
        <w:tabs>
          <w:tab w:val="left" w:pos="360"/>
        </w:tabs>
        <w:spacing w:after="0" w:line="240" w:lineRule="auto"/>
        <w:rPr>
          <w:rFonts w:ascii="Arial" w:eastAsia="MS Mincho" w:hAnsi="Arial" w:cs="Arial"/>
          <w:bCs/>
          <w:color w:val="000000" w:themeColor="text1"/>
        </w:rPr>
      </w:pP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r>
        <w:rPr>
          <w:rFonts w:ascii="Arial" w:eastAsia="MS Mincho" w:hAnsi="Arial" w:cs="Arial"/>
          <w:bCs/>
          <w:color w:val="000000" w:themeColor="text1"/>
          <w:u w:val="single"/>
        </w:rPr>
        <w:tab/>
      </w:r>
    </w:p>
    <w:p w14:paraId="38F4EB0B" w14:textId="77777777" w:rsidR="00BE41D1" w:rsidRPr="00F26750" w:rsidRDefault="00BE41D1" w:rsidP="00314D2D">
      <w:pPr>
        <w:tabs>
          <w:tab w:val="left" w:pos="360"/>
        </w:tabs>
        <w:spacing w:after="0" w:line="240" w:lineRule="auto"/>
        <w:rPr>
          <w:rFonts w:ascii="Arial" w:eastAsia="MS Mincho" w:hAnsi="Arial" w:cs="Arial"/>
          <w:bCs/>
        </w:rPr>
      </w:pPr>
    </w:p>
    <w:p w14:paraId="54D259B9" w14:textId="77777777" w:rsidR="000978BD" w:rsidRPr="00F26750" w:rsidRDefault="000978BD" w:rsidP="000978BD">
      <w:pPr>
        <w:pStyle w:val="ListParagraph"/>
        <w:tabs>
          <w:tab w:val="left" w:pos="360"/>
        </w:tabs>
        <w:spacing w:after="0" w:line="240" w:lineRule="auto"/>
        <w:rPr>
          <w:rFonts w:ascii="Arial" w:eastAsia="MS Gothic" w:hAnsi="Arial" w:cs="Arial"/>
          <w:bCs/>
          <w:color w:val="000000" w:themeColor="text1"/>
        </w:rPr>
      </w:pPr>
    </w:p>
    <w:sectPr w:rsidR="000978BD" w:rsidRPr="00F26750" w:rsidSect="002F75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081F"/>
    <w:multiLevelType w:val="hybridMultilevel"/>
    <w:tmpl w:val="74320D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47751C"/>
    <w:multiLevelType w:val="hybridMultilevel"/>
    <w:tmpl w:val="0868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54476"/>
    <w:multiLevelType w:val="hybridMultilevel"/>
    <w:tmpl w:val="3FDC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B592E"/>
    <w:multiLevelType w:val="hybridMultilevel"/>
    <w:tmpl w:val="80C0C2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A65A8"/>
    <w:multiLevelType w:val="hybridMultilevel"/>
    <w:tmpl w:val="B97C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E5C62"/>
    <w:multiLevelType w:val="hybridMultilevel"/>
    <w:tmpl w:val="A78E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62172"/>
    <w:multiLevelType w:val="hybridMultilevel"/>
    <w:tmpl w:val="7BA6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E568F"/>
    <w:multiLevelType w:val="hybridMultilevel"/>
    <w:tmpl w:val="7BA6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E6FD4"/>
    <w:multiLevelType w:val="hybridMultilevel"/>
    <w:tmpl w:val="E8D027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8"/>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51"/>
    <w:rsid w:val="00000DD4"/>
    <w:rsid w:val="00020A73"/>
    <w:rsid w:val="00043D65"/>
    <w:rsid w:val="00050990"/>
    <w:rsid w:val="000978BD"/>
    <w:rsid w:val="000B25B2"/>
    <w:rsid w:val="000C524B"/>
    <w:rsid w:val="000E64B3"/>
    <w:rsid w:val="0010011C"/>
    <w:rsid w:val="00115521"/>
    <w:rsid w:val="001613D6"/>
    <w:rsid w:val="001727DF"/>
    <w:rsid w:val="00181C75"/>
    <w:rsid w:val="00195A6D"/>
    <w:rsid w:val="001A229A"/>
    <w:rsid w:val="001A4D02"/>
    <w:rsid w:val="001A57BC"/>
    <w:rsid w:val="001B1104"/>
    <w:rsid w:val="001F5697"/>
    <w:rsid w:val="00213311"/>
    <w:rsid w:val="00216033"/>
    <w:rsid w:val="00232E00"/>
    <w:rsid w:val="002369D2"/>
    <w:rsid w:val="00247436"/>
    <w:rsid w:val="002671CF"/>
    <w:rsid w:val="00267281"/>
    <w:rsid w:val="00290FD3"/>
    <w:rsid w:val="002B5D88"/>
    <w:rsid w:val="002F7551"/>
    <w:rsid w:val="003022EE"/>
    <w:rsid w:val="00311CF8"/>
    <w:rsid w:val="00314D2D"/>
    <w:rsid w:val="00346039"/>
    <w:rsid w:val="003670BA"/>
    <w:rsid w:val="003674BC"/>
    <w:rsid w:val="00370F68"/>
    <w:rsid w:val="00397FE7"/>
    <w:rsid w:val="003A57A3"/>
    <w:rsid w:val="003B3309"/>
    <w:rsid w:val="003B49A6"/>
    <w:rsid w:val="003C4C3F"/>
    <w:rsid w:val="003E2BCB"/>
    <w:rsid w:val="003E2E3B"/>
    <w:rsid w:val="003E6624"/>
    <w:rsid w:val="00410A6D"/>
    <w:rsid w:val="004316E3"/>
    <w:rsid w:val="00431D8A"/>
    <w:rsid w:val="00435B6B"/>
    <w:rsid w:val="00472E88"/>
    <w:rsid w:val="004A5CB3"/>
    <w:rsid w:val="004B4471"/>
    <w:rsid w:val="004C1D8F"/>
    <w:rsid w:val="004D05A2"/>
    <w:rsid w:val="004E22B3"/>
    <w:rsid w:val="004F6E86"/>
    <w:rsid w:val="00500EFC"/>
    <w:rsid w:val="00504DD4"/>
    <w:rsid w:val="005200BF"/>
    <w:rsid w:val="00557510"/>
    <w:rsid w:val="00571D55"/>
    <w:rsid w:val="0057210D"/>
    <w:rsid w:val="00581747"/>
    <w:rsid w:val="005A2613"/>
    <w:rsid w:val="005B2B48"/>
    <w:rsid w:val="005B6768"/>
    <w:rsid w:val="005E48E2"/>
    <w:rsid w:val="005E7FDB"/>
    <w:rsid w:val="005F5245"/>
    <w:rsid w:val="00646ACB"/>
    <w:rsid w:val="00660A3F"/>
    <w:rsid w:val="006C7C91"/>
    <w:rsid w:val="006F53B0"/>
    <w:rsid w:val="0074543A"/>
    <w:rsid w:val="00763A63"/>
    <w:rsid w:val="00815CC4"/>
    <w:rsid w:val="00835D8A"/>
    <w:rsid w:val="0084665A"/>
    <w:rsid w:val="00851AA9"/>
    <w:rsid w:val="00853CB6"/>
    <w:rsid w:val="008603C1"/>
    <w:rsid w:val="00862B3F"/>
    <w:rsid w:val="0087164A"/>
    <w:rsid w:val="00893EC7"/>
    <w:rsid w:val="008A1941"/>
    <w:rsid w:val="008A365B"/>
    <w:rsid w:val="008A675D"/>
    <w:rsid w:val="008B09FB"/>
    <w:rsid w:val="008C7693"/>
    <w:rsid w:val="008E0256"/>
    <w:rsid w:val="008F3704"/>
    <w:rsid w:val="0090239D"/>
    <w:rsid w:val="00905B25"/>
    <w:rsid w:val="00906B3C"/>
    <w:rsid w:val="00907724"/>
    <w:rsid w:val="00923E96"/>
    <w:rsid w:val="009744B7"/>
    <w:rsid w:val="009E5A40"/>
    <w:rsid w:val="009E63AB"/>
    <w:rsid w:val="009E7E24"/>
    <w:rsid w:val="00A15582"/>
    <w:rsid w:val="00A170D6"/>
    <w:rsid w:val="00A43EE6"/>
    <w:rsid w:val="00A55390"/>
    <w:rsid w:val="00A602A7"/>
    <w:rsid w:val="00A742CF"/>
    <w:rsid w:val="00A87454"/>
    <w:rsid w:val="00AB19A9"/>
    <w:rsid w:val="00AC48AB"/>
    <w:rsid w:val="00AC5E69"/>
    <w:rsid w:val="00AC74D0"/>
    <w:rsid w:val="00AD37EA"/>
    <w:rsid w:val="00AD3C92"/>
    <w:rsid w:val="00B07414"/>
    <w:rsid w:val="00B24BC6"/>
    <w:rsid w:val="00B30F40"/>
    <w:rsid w:val="00B32091"/>
    <w:rsid w:val="00B57A5F"/>
    <w:rsid w:val="00B83253"/>
    <w:rsid w:val="00BD351F"/>
    <w:rsid w:val="00BE41D1"/>
    <w:rsid w:val="00BF6AF5"/>
    <w:rsid w:val="00C04679"/>
    <w:rsid w:val="00C079B8"/>
    <w:rsid w:val="00C33B7A"/>
    <w:rsid w:val="00C47F9B"/>
    <w:rsid w:val="00C51526"/>
    <w:rsid w:val="00C80E36"/>
    <w:rsid w:val="00CA0AD8"/>
    <w:rsid w:val="00CA5AE9"/>
    <w:rsid w:val="00CB2EE0"/>
    <w:rsid w:val="00D207F6"/>
    <w:rsid w:val="00D5671B"/>
    <w:rsid w:val="00D65F68"/>
    <w:rsid w:val="00DB0695"/>
    <w:rsid w:val="00DE3D64"/>
    <w:rsid w:val="00DF0757"/>
    <w:rsid w:val="00E101B0"/>
    <w:rsid w:val="00E11337"/>
    <w:rsid w:val="00E61CB6"/>
    <w:rsid w:val="00E72524"/>
    <w:rsid w:val="00E8166B"/>
    <w:rsid w:val="00EC10E9"/>
    <w:rsid w:val="00EC5424"/>
    <w:rsid w:val="00EF604B"/>
    <w:rsid w:val="00EF6EFF"/>
    <w:rsid w:val="00F17F36"/>
    <w:rsid w:val="00F26750"/>
    <w:rsid w:val="00F360DD"/>
    <w:rsid w:val="00F61D54"/>
    <w:rsid w:val="00F63D12"/>
    <w:rsid w:val="00FB1DA3"/>
    <w:rsid w:val="00FB2CA8"/>
    <w:rsid w:val="00FE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C18D"/>
  <w15:chartTrackingRefBased/>
  <w15:docId w15:val="{D83C91FA-0217-4C06-9F9A-CC1CB0D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1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41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4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551"/>
    <w:pPr>
      <w:ind w:left="720"/>
      <w:contextualSpacing/>
    </w:pPr>
  </w:style>
  <w:style w:type="character" w:styleId="CommentReference">
    <w:name w:val="annotation reference"/>
    <w:basedOn w:val="DefaultParagraphFont"/>
    <w:uiPriority w:val="99"/>
    <w:semiHidden/>
    <w:unhideWhenUsed/>
    <w:rsid w:val="002F7551"/>
    <w:rPr>
      <w:sz w:val="16"/>
      <w:szCs w:val="16"/>
    </w:rPr>
  </w:style>
  <w:style w:type="paragraph" w:styleId="CommentText">
    <w:name w:val="annotation text"/>
    <w:basedOn w:val="Normal"/>
    <w:link w:val="CommentTextChar"/>
    <w:uiPriority w:val="99"/>
    <w:unhideWhenUsed/>
    <w:rsid w:val="002F7551"/>
    <w:pPr>
      <w:spacing w:after="0" w:line="240" w:lineRule="auto"/>
    </w:pPr>
    <w:rPr>
      <w:rFonts w:ascii="CG Times" w:hAnsi="CG Times"/>
      <w:sz w:val="20"/>
      <w:szCs w:val="20"/>
    </w:rPr>
  </w:style>
  <w:style w:type="character" w:customStyle="1" w:styleId="CommentTextChar">
    <w:name w:val="Comment Text Char"/>
    <w:basedOn w:val="DefaultParagraphFont"/>
    <w:link w:val="CommentText"/>
    <w:uiPriority w:val="99"/>
    <w:rsid w:val="002F7551"/>
    <w:rPr>
      <w:rFonts w:ascii="CG Times" w:hAnsi="CG Times"/>
      <w:sz w:val="20"/>
      <w:szCs w:val="20"/>
    </w:rPr>
  </w:style>
  <w:style w:type="paragraph" w:styleId="BalloonText">
    <w:name w:val="Balloon Text"/>
    <w:basedOn w:val="Normal"/>
    <w:link w:val="BalloonTextChar"/>
    <w:uiPriority w:val="99"/>
    <w:semiHidden/>
    <w:unhideWhenUsed/>
    <w:rsid w:val="002F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551"/>
    <w:rPr>
      <w:rFonts w:ascii="Segoe UI" w:hAnsi="Segoe UI" w:cs="Segoe UI"/>
      <w:sz w:val="18"/>
      <w:szCs w:val="18"/>
    </w:rPr>
  </w:style>
  <w:style w:type="character" w:customStyle="1" w:styleId="Heading1Char">
    <w:name w:val="Heading 1 Char"/>
    <w:basedOn w:val="DefaultParagraphFont"/>
    <w:link w:val="Heading1"/>
    <w:uiPriority w:val="9"/>
    <w:rsid w:val="00BE41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41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4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CBD991ED8394DBCF57A41DC0C85A7" ma:contentTypeVersion="13" ma:contentTypeDescription="Create a new document." ma:contentTypeScope="" ma:versionID="727aaa7f9ab17ac599145ecfe3293d36">
  <xsd:schema xmlns:xsd="http://www.w3.org/2001/XMLSchema" xmlns:xs="http://www.w3.org/2001/XMLSchema" xmlns:p="http://schemas.microsoft.com/office/2006/metadata/properties" xmlns:ns3="ca83889f-f220-489f-b1ae-468bb86dd19d" xmlns:ns4="fca4a493-6bb0-4a47-ad7c-f6300bfff863" targetNamespace="http://schemas.microsoft.com/office/2006/metadata/properties" ma:root="true" ma:fieldsID="bb9fc67e184811a63620c3d749fbdc1b" ns3:_="" ns4:_="">
    <xsd:import namespace="ca83889f-f220-489f-b1ae-468bb86dd19d"/>
    <xsd:import namespace="fca4a493-6bb0-4a47-ad7c-f6300bfff8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3889f-f220-489f-b1ae-468bb86d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4a493-6bb0-4a47-ad7c-f6300bfff8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7D560-10EC-433C-AA48-D7C79E9CDA44}">
  <ds:schemaRefs>
    <ds:schemaRef ds:uri="http://schemas.microsoft.com/sharepoint/v3/contenttype/forms"/>
  </ds:schemaRefs>
</ds:datastoreItem>
</file>

<file path=customXml/itemProps2.xml><?xml version="1.0" encoding="utf-8"?>
<ds:datastoreItem xmlns:ds="http://schemas.openxmlformats.org/officeDocument/2006/customXml" ds:itemID="{120E5EFD-D5B8-49A9-932F-A92D32F75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F1C32-E27E-4D4F-BC7E-301D973F4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3889f-f220-489f-b1ae-468bb86dd19d"/>
    <ds:schemaRef ds:uri="fca4a493-6bb0-4a47-ad7c-f6300bff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Williams</dc:creator>
  <cp:keywords/>
  <dc:description/>
  <cp:lastModifiedBy>Elisa Jaden</cp:lastModifiedBy>
  <cp:revision>2</cp:revision>
  <dcterms:created xsi:type="dcterms:W3CDTF">2020-06-25T20:18:00Z</dcterms:created>
  <dcterms:modified xsi:type="dcterms:W3CDTF">2020-06-25T20:18:00Z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0x0101004D2CBD991ED8394DBCF57A41DC0C85A7</vt:lpwstr>
  </property>
</Properties>
</file>